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000"/>
      </w:pPr>
    </w:p>
    <w:p>
      <w:pPr>
        <w:pStyle w:val="Title"/>
      </w:pPr>
      <w:r>
        <w:rPr>
          <w:b/>
          <w:bCs/>
        </w:rPr>
        <w:t xml:space="preserve">ODL CORRIDOR ECONOMICS MODEL</w:t>
      </w:r>
    </w:p>
    <w:p>
      <w:pPr>
        <w:spacing w:after="400"/>
        <w:jc w:val="center"/>
      </w:pPr>
      <w:r>
        <w:rPr>
          <w:i/>
          <w:iCs/>
          <w:color w:val="4a5568"/>
          <w:sz w:val="28"/>
          <w:szCs w:val="28"/>
        </w:rPr>
        <w:t xml:space="preserve">A Quantitative Framework for Cross-Border Payment Corridor Analysis</w:t>
      </w:r>
    </w:p>
    <w:p>
      <w:pPr>
        <w:spacing w:before="800"/>
      </w:pPr>
    </w:p>
    <w:p>
      <w:pPr>
        <w:jc w:val="center"/>
      </w:pPr>
      <w:r>
        <w:rPr>
          <w:color w:val="718096"/>
          <w:sz w:val="24"/>
          <w:szCs w:val="24"/>
        </w:rPr>
        <w:t xml:space="preserve">OCEM Framework</w:t>
      </w:r>
    </w:p>
    <w:p>
      <w:pPr>
        <w:spacing w:after="100"/>
        <w:jc w:val="center"/>
      </w:pPr>
      <w:r>
        <w:rPr>
          <w:color w:val="718096"/>
          <w:sz w:val="22"/>
          <w:szCs w:val="22"/>
        </w:rPr>
        <w:t xml:space="preserve">Version 1.0 | December 2025</w:t>
      </w:r>
    </w:p>
    <w:p>
      <w:pPr>
        <w:spacing w:before="1200"/>
      </w:pPr>
    </w:p>
    <w:p>
      <w:pPr>
        <w:jc w:val="center"/>
      </w:pPr>
      <w:r>
        <w:rPr>
          <w:b/>
          <w:bCs/>
          <w:sz w:val="24"/>
          <w:szCs w:val="24"/>
        </w:rPr>
        <w:t xml:space="preserve">XRP Academy Research Division</w:t>
      </w:r>
    </w:p>
    <w:p>
      <w:pPr>
        <w:jc w:val="center"/>
      </w:pPr>
      <w:r>
        <w:rPr>
          <w:color w:val="718096"/>
          <w:sz w:val="22"/>
          <w:szCs w:val="22"/>
        </w:rPr>
        <w:t xml:space="preserve">XRP Intelligence, LLC</w:t>
      </w:r>
    </w:p>
    <w:p>
      <w:pPr>
        <w:spacing w:before="800"/>
      </w:pPr>
    </w:p>
    <w:p>
      <w:pPr>
        <w:shd w:fill="fef3c7" w:val="clear"/>
        <w:spacing w:before="200" w:after="200"/>
        <w:jc w:val="center"/>
      </w:pPr>
      <w:r>
        <w:rPr>
          <w:color w:val="92400e"/>
          <w:sz w:val="20"/>
          <w:szCs w:val="20"/>
        </w:rPr>
        <w:t xml:space="preserve">CLASSIFICATION: Educational Research | Not Investment Advice</w:t>
      </w:r>
    </w:p>
    <w:p>
      <w:r>
        <w:br w:type="page"/>
      </w:r>
    </w:p>
    <w:p>
      <w:pPr>
        <w:pStyle w:val="Heading1"/>
        <w:spacing w:before="400" w:after="200"/>
      </w:pPr>
      <w:r>
        <w:rPr>
          <w:b/>
          <w:bCs/>
        </w:rPr>
        <w:t xml:space="preserve">1. Executive Summary</w:t>
      </w:r>
    </w:p>
    <w:p>
      <w:pPr>
        <w:pStyle w:val="Heading2"/>
        <w:spacing w:before="300" w:after="150"/>
      </w:pPr>
      <w:r>
        <w:rPr>
          <w:b/>
          <w:bCs/>
        </w:rPr>
        <w:t xml:space="preserve">1.1 The Problem</w:t>
      </w:r>
    </w:p>
    <w:p>
      <w:pPr>
        <w:spacing w:after="120"/>
      </w:pPr>
      <w:r>
        <w:t xml:space="preserve">Cross-border payments remain one of the most inefficient sectors of global finance. Despite processing $150-194 trillion annually, the correspondent banking system imposes significant costs: multi-day settlement times, opaque fee structures, and substantial capital tied up in pre-funded accounts.</w:t>
      </w:r>
    </w:p>
    <w:p>
      <w:pPr>
        <w:spacing w:after="120"/>
      </w:pPr>
      <w:r>
        <w:t xml:space="preserve">Industry estimates suggest banks maintain tens of trillions of dollars in nostro/vostro accounts globally—capital earning minimal returns while waiting to facilitate international transfers. The widely-cited figure of $27 trillion, while commonly referenced, lacks primary source verification and should be treated as an order-of-magnitude estimate rather than precise measurement.</w:t>
      </w:r>
    </w:p>
    <w:p>
      <w:pPr>
        <w:pStyle w:val="Heading2"/>
        <w:spacing w:before="300" w:after="150"/>
      </w:pPr>
      <w:r>
        <w:rPr>
          <w:b/>
          <w:bCs/>
        </w:rPr>
        <w:t xml:space="preserve">1.2 The Opportunity</w:t>
      </w:r>
    </w:p>
    <w:p>
      <w:pPr>
        <w:spacing w:after="120"/>
      </w:pPr>
      <w:r>
        <w:t xml:space="preserve">Ripple's On-Demand Liquidity (ODL) service proposes an alternative: using XRP as a bridge currency to eliminate pre-funding requirements entirely. By converting source currency to XRP, transferring via the XRP Ledger in 3-5 seconds, and converting to destination currency, ODL promises to unlock trapped capital while reducing costs.</w:t>
      </w:r>
    </w:p>
    <w:p>
      <w:pPr>
        <w:spacing w:after="120"/>
      </w:pPr>
      <w:r>
        <w:t xml:space="preserve">But does ODL actually deliver on this promise? And more importantly—for which corridors, transaction sizes, and use cases?</w:t>
      </w:r>
    </w:p>
    <w:p>
      <w:pPr>
        <w:pStyle w:val="Heading2"/>
        <w:spacing w:before="300" w:after="150"/>
      </w:pPr>
      <w:r>
        <w:rPr>
          <w:b/>
          <w:bCs/>
        </w:rPr>
        <w:t xml:space="preserve">1.3 What This Framework Provides</w:t>
      </w:r>
    </w:p>
    <w:p>
      <w:pPr>
        <w:spacing w:after="120"/>
      </w:pPr>
      <w:r>
        <w:t xml:space="preserve">The ODL Corridor Economics Model (OCEM) is a quantitative framework enabling rigorous, corridor-specific analysis of ODL viability. Rather than accepting marketing claims at face value, this framework provides:</w:t>
      </w:r>
    </w:p>
    <w:p>
      <w:pPr>
        <w:pStyle w:val="ListParagraph"/>
        <w:numPr>
          <w:ilvl w:val="0"/>
          <w:numId w:val="2"/>
        </w:numPr>
      </w:pPr>
      <w:r>
        <w:t xml:space="preserve">A complete cost model for both traditional correspondent banking and ODL</w:t>
      </w:r>
    </w:p>
    <w:p>
      <w:pPr>
        <w:pStyle w:val="ListParagraph"/>
        <w:numPr>
          <w:ilvl w:val="0"/>
          <w:numId w:val="2"/>
        </w:numPr>
      </w:pPr>
      <w:r>
        <w:t xml:space="preserve">Liquidity requirements calculation for any given corridor</w:t>
      </w:r>
    </w:p>
    <w:p>
      <w:pPr>
        <w:pStyle w:val="ListParagraph"/>
        <w:numPr>
          <w:ilvl w:val="0"/>
          <w:numId w:val="2"/>
        </w:numPr>
      </w:pPr>
      <w:r>
        <w:t xml:space="preserve">A multi-factor scoring system for corridor viability</w:t>
      </w:r>
    </w:p>
    <w:p>
      <w:pPr>
        <w:pStyle w:val="ListParagraph"/>
        <w:numPr>
          <w:ilvl w:val="0"/>
          <w:numId w:val="2"/>
        </w:numPr>
      </w:pPr>
      <w:r>
        <w:t xml:space="preserve">Break-even volume thresholds for integration investment</w:t>
      </w:r>
    </w:p>
    <w:p>
      <w:pPr>
        <w:pStyle w:val="ListParagraph"/>
        <w:numPr>
          <w:ilvl w:val="0"/>
          <w:numId w:val="2"/>
        </w:numPr>
      </w:pPr>
      <w:r>
        <w:t xml:space="preserve">Honest assessment of competitive alternatives including stablecoins</w:t>
      </w:r>
    </w:p>
    <w:p>
      <w:pPr>
        <w:pStyle w:val="Heading2"/>
        <w:spacing w:before="300" w:after="150"/>
      </w:pPr>
      <w:r>
        <w:rPr>
          <w:b/>
          <w:bCs/>
        </w:rPr>
        <w:t xml:space="preserve">1.4 Key Findings</w:t>
      </w:r>
    </w:p>
    <w:p>
      <w:pPr>
        <w:pStyle w:val="ListParagraph"/>
        <w:numPr>
          <w:ilvl w:val="0"/>
          <w:numId w:val="3"/>
        </w:numPr>
        <w:spacing w:after="80"/>
      </w:pPr>
      <w:r>
        <w:rPr>
          <w:b/>
          <w:bCs/>
        </w:rPr>
        <w:t xml:space="preserve">ODL's sweet spot is $100-$2,000 remittances </w:t>
      </w:r>
      <w:r>
        <w:t xml:space="preserve">in high-cost corridors (3-8% traditional cost) where XRP liquidity exceeds $5M daily volume on both ends.</w:t>
      </w:r>
    </w:p>
    <w:p>
      <w:pPr>
        <w:pStyle w:val="ListParagraph"/>
        <w:numPr>
          <w:ilvl w:val="0"/>
          <w:numId w:val="3"/>
        </w:numPr>
        <w:spacing w:after="80"/>
      </w:pPr>
      <w:r>
        <w:rPr>
          <w:b/>
          <w:bCs/>
        </w:rPr>
        <w:t xml:space="preserve">Spreads above 2% eliminate ODL's cost advantage entirely. </w:t>
      </w:r>
      <w:r>
        <w:t xml:space="preserve">Liquidity depth is the single most important variable.</w:t>
      </w:r>
    </w:p>
    <w:p>
      <w:pPr>
        <w:pStyle w:val="ListParagraph"/>
        <w:numPr>
          <w:ilvl w:val="0"/>
          <w:numId w:val="3"/>
        </w:numPr>
        <w:spacing w:after="80"/>
      </w:pPr>
      <w:r>
        <w:rPr>
          <w:b/>
          <w:bCs/>
        </w:rPr>
        <w:t xml:space="preserve">Stablecoins present serious competition in USD corridors, </w:t>
      </w:r>
      <w:r>
        <w:t xml:space="preserve">with $5.7 trillion in payments processed in 2024 at 0.5-2% cost.</w:t>
      </w:r>
    </w:p>
    <w:p>
      <w:pPr>
        <w:pStyle w:val="ListParagraph"/>
        <w:numPr>
          <w:ilvl w:val="0"/>
          <w:numId w:val="3"/>
        </w:numPr>
        <w:spacing w:after="80"/>
      </w:pPr>
      <w:r>
        <w:rPr>
          <w:b/>
          <w:bCs/>
        </w:rPr>
        <w:t xml:space="preserve">ODL volume reached $15B in 2024 </w:t>
      </w:r>
      <w:r>
        <w:t xml:space="preserve">(32% YoY growth), representing ~1.7% of the $905B global remittance market.</w:t>
      </w:r>
    </w:p>
    <w:p>
      <w:pPr>
        <w:pStyle w:val="ListParagraph"/>
        <w:numPr>
          <w:ilvl w:val="0"/>
          <w:numId w:val="3"/>
        </w:numPr>
        <w:spacing w:after="80"/>
      </w:pPr>
      <w:r>
        <w:rPr>
          <w:b/>
          <w:bCs/>
        </w:rPr>
        <w:t xml:space="preserve">40% of RippleNet partners now use ODL, </w:t>
      </w:r>
      <w:r>
        <w:t xml:space="preserve">up significantly from early adoption rates.</w:t>
      </w:r>
    </w:p>
    <w:p>
      <w:r>
        <w:br w:type="page"/>
      </w:r>
    </w:p>
    <w:p>
      <w:pPr>
        <w:pStyle w:val="Heading1"/>
        <w:spacing w:before="400" w:after="200"/>
      </w:pPr>
      <w:r>
        <w:rPr>
          <w:b/>
          <w:bCs/>
        </w:rPr>
        <w:t xml:space="preserve">2. The Correspondent Banking Baseline</w:t>
      </w:r>
    </w:p>
    <w:p>
      <w:pPr>
        <w:pStyle w:val="Heading2"/>
        <w:spacing w:before="300" w:after="150"/>
      </w:pPr>
      <w:r>
        <w:rPr>
          <w:b/>
          <w:bCs/>
        </w:rPr>
        <w:t xml:space="preserve">2.1 How Traditional Cross-Border Payments Work</w:t>
      </w:r>
    </w:p>
    <w:p>
      <w:pPr>
        <w:spacing w:after="120"/>
      </w:pPr>
      <w:r>
        <w:t xml:space="preserve">When a bank in one country needs to send money to a bank in another country, they typically don't have a direct relationship. Instead, payments flow through a network of correspondent banks—intermediaries that maintain accounts with each other.</w:t>
      </w:r>
    </w:p>
    <w:p>
      <w:pPr>
        <w:spacing w:after="120"/>
      </w:pPr>
      <w:r>
        <w:t xml:space="preserve">Consider a $10,000 transfer from a US bank to a bank in the Philippines:</w:t>
      </w:r>
    </w:p>
    <w:p>
      <w:pPr>
        <w:pStyle w:val="ListParagraph"/>
        <w:numPr>
          <w:ilvl w:val="0"/>
          <w:numId w:val="4"/>
        </w:numPr>
      </w:pPr>
      <w:r>
        <w:t xml:space="preserve">Originating bank (US) debits customer's account</w:t>
      </w:r>
    </w:p>
    <w:p>
      <w:pPr>
        <w:pStyle w:val="ListParagraph"/>
        <w:numPr>
          <w:ilvl w:val="0"/>
          <w:numId w:val="4"/>
        </w:numPr>
      </w:pPr>
      <w:r>
        <w:t xml:space="preserve">US bank sends SWIFT message to correspondent bank</w:t>
      </w:r>
    </w:p>
    <w:p>
      <w:pPr>
        <w:pStyle w:val="ListParagraph"/>
        <w:numPr>
          <w:ilvl w:val="0"/>
          <w:numId w:val="4"/>
        </w:numPr>
      </w:pPr>
      <w:r>
        <w:t xml:space="preserve">Correspondent bank(s) relay the payment, each taking a fee</w:t>
      </w:r>
    </w:p>
    <w:p>
      <w:pPr>
        <w:pStyle w:val="ListParagraph"/>
        <w:numPr>
          <w:ilvl w:val="0"/>
          <w:numId w:val="4"/>
        </w:numPr>
      </w:pPr>
      <w:r>
        <w:t xml:space="preserve">Philippine correspondent bank credits destination bank's nostro account</w:t>
      </w:r>
    </w:p>
    <w:p>
      <w:pPr>
        <w:pStyle w:val="ListParagraph"/>
        <w:numPr>
          <w:ilvl w:val="0"/>
          <w:numId w:val="4"/>
        </w:numPr>
      </w:pPr>
      <w:r>
        <w:t xml:space="preserve">Destination bank credits recipient's account</w:t>
      </w:r>
    </w:p>
    <w:p>
      <w:pPr>
        <w:spacing w:after="120"/>
      </w:pPr>
      <w:r>
        <w:t xml:space="preserve">This process typically takes 2-5 business days and involves multiple intermediaries, each extracting fees.</w:t>
      </w:r>
    </w:p>
    <w:p>
      <w:pPr>
        <w:pStyle w:val="Heading2"/>
        <w:spacing w:before="300" w:after="150"/>
      </w:pPr>
      <w:r>
        <w:rPr>
          <w:b/>
          <w:bCs/>
        </w:rPr>
        <w:t xml:space="preserve">2.2 The Trapped Capital Problem</w:t>
      </w:r>
    </w:p>
    <w:p>
      <w:pPr>
        <w:spacing w:after="120"/>
      </w:pPr>
      <w:r>
        <w:t xml:space="preserve">To facilitate these transfers, banks must maintain pre-funded accounts (nostro accounts) in foreign currencies at correspondent banks worldwide. This capital sits idle, earning minimal returns, waiting to settle transactions.</w:t>
      </w:r>
    </w:p>
    <w:p>
      <w:pPr>
        <w:pStyle w:val="Heading3"/>
        <w:spacing w:before="200" w:after="100"/>
      </w:pPr>
      <w:r>
        <w:rPr>
          <w:b/>
          <w:bCs/>
        </w:rPr>
        <w:t xml:space="preserve">Contested Estimates</w:t>
      </w:r>
    </w:p>
    <w:p>
      <w:pPr>
        <w:spacing w:after="120"/>
      </w:pPr>
      <w:r>
        <w:t xml:space="preserve">The commonly cited figure of "$27 trillion trapped in nostro/vostro accounts" originates from industry commentary but lacks primary source verification. A skeptical analysis by FintechProf estimates the actual figure may be $400 billion to $1 trillion—still substantial, but an order of magnitude lower than marketing claims.</w:t>
      </w:r>
    </w:p>
    <w:p>
      <w:pPr>
        <w:spacing w:after="120"/>
      </w:pPr>
      <w:r>
        <w:t xml:space="preserve">For analytical purposes, we use a conservative framework:</w:t>
      </w:r>
    </w:p>
    <w:p>
      <w:pPr>
        <w:pStyle w:val="ListParagraph"/>
        <w:numPr>
          <w:ilvl w:val="0"/>
          <w:numId w:val="4"/>
        </w:numPr>
      </w:pPr>
      <w:r>
        <w:rPr>
          <w:b/>
          <w:bCs/>
        </w:rPr>
        <w:t xml:space="preserve">Lower bound: </w:t>
      </w:r>
      <w:r>
        <w:t xml:space="preserve">$400B-$1T (skeptical academic estimate)</w:t>
      </w:r>
    </w:p>
    <w:p>
      <w:pPr>
        <w:pStyle w:val="ListParagraph"/>
        <w:numPr>
          <w:ilvl w:val="0"/>
          <w:numId w:val="4"/>
        </w:numPr>
      </w:pPr>
      <w:r>
        <w:rPr>
          <w:b/>
          <w:bCs/>
        </w:rPr>
        <w:t xml:space="preserve">Upper bound: </w:t>
      </w:r>
      <w:r>
        <w:t xml:space="preserve">$20-28T (industry/marketing estimates)</w:t>
      </w:r>
    </w:p>
    <w:p>
      <w:pPr>
        <w:pStyle w:val="ListParagraph"/>
        <w:numPr>
          <w:ilvl w:val="0"/>
          <w:numId w:val="4"/>
        </w:numPr>
      </w:pPr>
      <w:r>
        <w:rPr>
          <w:b/>
          <w:bCs/>
        </w:rPr>
        <w:t xml:space="preserve">Working estimate: </w:t>
      </w:r>
      <w:r>
        <w:t xml:space="preserve">"Tens of trillions" with significant uncertainty</w:t>
      </w:r>
    </w:p>
    <w:p>
      <w:pPr>
        <w:spacing w:after="120"/>
      </w:pPr>
      <w:r>
        <w:t xml:space="preserve">Regardless of the precise figure, the capital efficiency problem is real and represents a genuine market opportunity.</w:t>
      </w:r>
    </w:p>
    <w:p>
      <w:pPr>
        <w:pStyle w:val="Heading2"/>
        <w:spacing w:before="300" w:after="150"/>
      </w:pPr>
      <w:r>
        <w:rPr>
          <w:b/>
          <w:bCs/>
        </w:rPr>
        <w:t xml:space="preserve">2.3 Cost Structure Decomposition</w:t>
      </w:r>
    </w:p>
    <w:p>
      <w:pPr>
        <w:spacing w:after="120"/>
      </w:pPr>
      <w:r>
        <w:t xml:space="preserve">Traditional cross-border payment costs consist of multiple components:</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500"/>
        <w:gridCol w:w="2500"/>
        <w:gridCol w:w="3360"/>
      </w:tblGrid>
      <w:tr>
        <w:trPr>
          <w:tblHeader/>
        </w:trPr>
        <w:tc>
          <w:tcPr>
            <w:tcW w:type="dxa" w:w="3500"/>
            <w:tcBorders>
              <w:top w:val="single" w:color="CCCCCC" w:sz="1"/>
              <w:left w:val="single" w:color="CCCCCC" w:sz="1"/>
              <w:bottom w:val="single" w:color="CCCCCC" w:sz="1"/>
              <w:right w:val="single" w:color="CCCCCC" w:sz="1"/>
            </w:tcBorders>
            <w:shd w:fill="1a365d" w:val="clear"/>
          </w:tcPr>
          <w:p>
            <w:pPr>
              <w:jc w:val="center"/>
            </w:pPr>
            <w:r>
              <w:rPr>
                <w:b/>
                <w:bCs/>
                <w:color w:val="FFFFFF"/>
              </w:rPr>
              <w:t xml:space="preserve">Cost Component</w:t>
            </w:r>
          </w:p>
        </w:tc>
        <w:tc>
          <w:tcPr>
            <w:tcW w:type="dxa" w:w="2500"/>
            <w:tcBorders>
              <w:top w:val="single" w:color="CCCCCC" w:sz="1"/>
              <w:left w:val="single" w:color="CCCCCC" w:sz="1"/>
              <w:bottom w:val="single" w:color="CCCCCC" w:sz="1"/>
              <w:right w:val="single" w:color="CCCCCC" w:sz="1"/>
            </w:tcBorders>
            <w:shd w:fill="1a365d" w:val="clear"/>
          </w:tcPr>
          <w:p>
            <w:pPr>
              <w:jc w:val="center"/>
            </w:pPr>
            <w:r>
              <w:rPr>
                <w:b/>
                <w:bCs/>
                <w:color w:val="FFFFFF"/>
              </w:rPr>
              <w:t xml:space="preserve">Typical Range</w:t>
            </w:r>
          </w:p>
        </w:tc>
        <w:tc>
          <w:tcPr>
            <w:tcW w:type="dxa" w:w="3360"/>
            <w:tcBorders>
              <w:top w:val="single" w:color="CCCCCC" w:sz="1"/>
              <w:left w:val="single" w:color="CCCCCC" w:sz="1"/>
              <w:bottom w:val="single" w:color="CCCCCC" w:sz="1"/>
              <w:right w:val="single" w:color="CCCCCC" w:sz="1"/>
            </w:tcBorders>
            <w:shd w:fill="1a365d" w:val="clear"/>
          </w:tcPr>
          <w:p>
            <w:pPr>
              <w:jc w:val="center"/>
            </w:pPr>
            <w:r>
              <w:rPr>
                <w:b/>
                <w:bCs/>
                <w:color w:val="FFFFFF"/>
              </w:rPr>
              <w:t xml:space="preserve">Source</w:t>
            </w:r>
          </w:p>
        </w:tc>
      </w:tr>
      <w:tr>
        <w:tc>
          <w:tcPr>
            <w:tcW w:type="dxa" w:w="3500"/>
            <w:tcBorders>
              <w:top w:val="single" w:color="CCCCCC" w:sz="1"/>
              <w:left w:val="single" w:color="CCCCCC" w:sz="1"/>
              <w:bottom w:val="single" w:color="CCCCCC" w:sz="1"/>
              <w:right w:val="single" w:color="CCCCCC" w:sz="1"/>
            </w:tcBorders>
          </w:tcPr>
          <w:p>
            <w:r>
              <w:t xml:space="preserve">Outward SWIFT Fee</w:t>
            </w:r>
          </w:p>
        </w:tc>
        <w:tc>
          <w:tcPr>
            <w:tcW w:type="dxa" w:w="2500"/>
            <w:tcBorders>
              <w:top w:val="single" w:color="CCCCCC" w:sz="1"/>
              <w:left w:val="single" w:color="CCCCCC" w:sz="1"/>
              <w:bottom w:val="single" w:color="CCCCCC" w:sz="1"/>
              <w:right w:val="single" w:color="CCCCCC" w:sz="1"/>
            </w:tcBorders>
          </w:tcPr>
          <w:p>
            <w:pPr>
              <w:jc w:val="center"/>
            </w:pPr>
            <w:r>
              <w:t xml:space="preserve">$15-30</w:t>
            </w:r>
          </w:p>
        </w:tc>
        <w:tc>
          <w:tcPr>
            <w:tcW w:type="dxa" w:w="3360"/>
            <w:tcBorders>
              <w:top w:val="single" w:color="CCCCCC" w:sz="1"/>
              <w:left w:val="single" w:color="CCCCCC" w:sz="1"/>
              <w:bottom w:val="single" w:color="CCCCCC" w:sz="1"/>
              <w:right w:val="single" w:color="CCCCCC" w:sz="1"/>
            </w:tcBorders>
          </w:tcPr>
          <w:p>
            <w:r>
              <w:t xml:space="preserve">Sending bank</w:t>
            </w:r>
          </w:p>
        </w:tc>
      </w:tr>
      <w:tr>
        <w:tc>
          <w:tcPr>
            <w:tcW w:type="dxa" w:w="3500"/>
            <w:tcBorders>
              <w:top w:val="single" w:color="CCCCCC" w:sz="1"/>
              <w:left w:val="single" w:color="CCCCCC" w:sz="1"/>
              <w:bottom w:val="single" w:color="CCCCCC" w:sz="1"/>
              <w:right w:val="single" w:color="CCCCCC" w:sz="1"/>
            </w:tcBorders>
            <w:shd w:fill="f8fafc" w:val="clear"/>
          </w:tcPr>
          <w:p>
            <w:r>
              <w:t xml:space="preserve">Intermediary Bank Fees</w:t>
            </w:r>
          </w:p>
        </w:tc>
        <w:tc>
          <w:tcPr>
            <w:tcW w:type="dxa" w:w="2500"/>
            <w:tcBorders>
              <w:top w:val="single" w:color="CCCCCC" w:sz="1"/>
              <w:left w:val="single" w:color="CCCCCC" w:sz="1"/>
              <w:bottom w:val="single" w:color="CCCCCC" w:sz="1"/>
              <w:right w:val="single" w:color="CCCCCC" w:sz="1"/>
            </w:tcBorders>
            <w:shd w:fill="f8fafc" w:val="clear"/>
          </w:tcPr>
          <w:p>
            <w:pPr>
              <w:jc w:val="center"/>
            </w:pPr>
            <w:r>
              <w:t xml:space="preserve">$10-40 each</w:t>
            </w:r>
          </w:p>
        </w:tc>
        <w:tc>
          <w:tcPr>
            <w:tcW w:type="dxa" w:w="3360"/>
            <w:tcBorders>
              <w:top w:val="single" w:color="CCCCCC" w:sz="1"/>
              <w:left w:val="single" w:color="CCCCCC" w:sz="1"/>
              <w:bottom w:val="single" w:color="CCCCCC" w:sz="1"/>
              <w:right w:val="single" w:color="CCCCCC" w:sz="1"/>
            </w:tcBorders>
            <w:shd w:fill="f8fafc" w:val="clear"/>
          </w:tcPr>
          <w:p>
            <w:r>
              <w:t xml:space="preserve">1-3 intermediaries</w:t>
            </w:r>
          </w:p>
        </w:tc>
      </w:tr>
      <w:tr>
        <w:tc>
          <w:tcPr>
            <w:tcW w:type="dxa" w:w="3500"/>
            <w:tcBorders>
              <w:top w:val="single" w:color="CCCCCC" w:sz="1"/>
              <w:left w:val="single" w:color="CCCCCC" w:sz="1"/>
              <w:bottom w:val="single" w:color="CCCCCC" w:sz="1"/>
              <w:right w:val="single" w:color="CCCCCC" w:sz="1"/>
            </w:tcBorders>
          </w:tcPr>
          <w:p>
            <w:r>
              <w:t xml:space="preserve">FX Spread/Markup</w:t>
            </w:r>
          </w:p>
        </w:tc>
        <w:tc>
          <w:tcPr>
            <w:tcW w:type="dxa" w:w="2500"/>
            <w:tcBorders>
              <w:top w:val="single" w:color="CCCCCC" w:sz="1"/>
              <w:left w:val="single" w:color="CCCCCC" w:sz="1"/>
              <w:bottom w:val="single" w:color="CCCCCC" w:sz="1"/>
              <w:right w:val="single" w:color="CCCCCC" w:sz="1"/>
            </w:tcBorders>
          </w:tcPr>
          <w:p>
            <w:pPr>
              <w:jc w:val="center"/>
            </w:pPr>
            <w:r>
              <w:t xml:space="preserve">1-4%</w:t>
            </w:r>
          </w:p>
        </w:tc>
        <w:tc>
          <w:tcPr>
            <w:tcW w:type="dxa" w:w="3360"/>
            <w:tcBorders>
              <w:top w:val="single" w:color="CCCCCC" w:sz="1"/>
              <w:left w:val="single" w:color="CCCCCC" w:sz="1"/>
              <w:bottom w:val="single" w:color="CCCCCC" w:sz="1"/>
              <w:right w:val="single" w:color="CCCCCC" w:sz="1"/>
            </w:tcBorders>
          </w:tcPr>
          <w:p>
            <w:r>
              <w:t xml:space="preserve">Hidden in exchange rate</w:t>
            </w:r>
          </w:p>
        </w:tc>
      </w:tr>
      <w:tr>
        <w:tc>
          <w:tcPr>
            <w:tcW w:type="dxa" w:w="3500"/>
            <w:tcBorders>
              <w:top w:val="single" w:color="CCCCCC" w:sz="1"/>
              <w:left w:val="single" w:color="CCCCCC" w:sz="1"/>
              <w:bottom w:val="single" w:color="CCCCCC" w:sz="1"/>
              <w:right w:val="single" w:color="CCCCCC" w:sz="1"/>
            </w:tcBorders>
            <w:shd w:fill="f8fafc" w:val="clear"/>
          </w:tcPr>
          <w:p>
            <w:r>
              <w:t xml:space="preserve">Inward Remittance Fee</w:t>
            </w:r>
          </w:p>
        </w:tc>
        <w:tc>
          <w:tcPr>
            <w:tcW w:type="dxa" w:w="2500"/>
            <w:tcBorders>
              <w:top w:val="single" w:color="CCCCCC" w:sz="1"/>
              <w:left w:val="single" w:color="CCCCCC" w:sz="1"/>
              <w:bottom w:val="single" w:color="CCCCCC" w:sz="1"/>
              <w:right w:val="single" w:color="CCCCCC" w:sz="1"/>
            </w:tcBorders>
            <w:shd w:fill="f8fafc" w:val="clear"/>
          </w:tcPr>
          <w:p>
            <w:pPr>
              <w:jc w:val="center"/>
            </w:pPr>
            <w:r>
              <w:t xml:space="preserve">$5-25</w:t>
            </w:r>
          </w:p>
        </w:tc>
        <w:tc>
          <w:tcPr>
            <w:tcW w:type="dxa" w:w="3360"/>
            <w:tcBorders>
              <w:top w:val="single" w:color="CCCCCC" w:sz="1"/>
              <w:left w:val="single" w:color="CCCCCC" w:sz="1"/>
              <w:bottom w:val="single" w:color="CCCCCC" w:sz="1"/>
              <w:right w:val="single" w:color="CCCCCC" w:sz="1"/>
            </w:tcBorders>
            <w:shd w:fill="f8fafc" w:val="clear"/>
          </w:tcPr>
          <w:p>
            <w:r>
              <w:t xml:space="preserve">Receiving bank</w:t>
            </w:r>
          </w:p>
        </w:tc>
      </w:tr>
      <w:tr>
        <w:tc>
          <w:tcPr>
            <w:tcW w:type="dxa" w:w="3500"/>
            <w:tcBorders>
              <w:top w:val="single" w:color="CCCCCC" w:sz="1"/>
              <w:left w:val="single" w:color="CCCCCC" w:sz="1"/>
              <w:bottom w:val="single" w:color="CCCCCC" w:sz="1"/>
              <w:right w:val="single" w:color="CCCCCC" w:sz="1"/>
            </w:tcBorders>
          </w:tcPr>
          <w:p>
            <w:r>
              <w:t xml:space="preserve">Capital Opportunity Cost</w:t>
            </w:r>
          </w:p>
        </w:tc>
        <w:tc>
          <w:tcPr>
            <w:tcW w:type="dxa" w:w="2500"/>
            <w:tcBorders>
              <w:top w:val="single" w:color="CCCCCC" w:sz="1"/>
              <w:left w:val="single" w:color="CCCCCC" w:sz="1"/>
              <w:bottom w:val="single" w:color="CCCCCC" w:sz="1"/>
              <w:right w:val="single" w:color="CCCCCC" w:sz="1"/>
            </w:tcBorders>
          </w:tcPr>
          <w:p>
            <w:pPr>
              <w:jc w:val="center"/>
            </w:pPr>
            <w:r>
              <w:t xml:space="preserve">5-8% annually</w:t>
            </w:r>
          </w:p>
        </w:tc>
        <w:tc>
          <w:tcPr>
            <w:tcW w:type="dxa" w:w="3360"/>
            <w:tcBorders>
              <w:top w:val="single" w:color="CCCCCC" w:sz="1"/>
              <w:left w:val="single" w:color="CCCCCC" w:sz="1"/>
              <w:bottom w:val="single" w:color="CCCCCC" w:sz="1"/>
              <w:right w:val="single" w:color="CCCCCC" w:sz="1"/>
            </w:tcBorders>
          </w:tcPr>
          <w:p>
            <w:r>
              <w:t xml:space="preserve">On pre-funded nostro</w:t>
            </w:r>
          </w:p>
        </w:tc>
      </w:tr>
      <w:tr>
        <w:tc>
          <w:tcPr>
            <w:tcW w:type="dxa" w:w="3500"/>
            <w:tcBorders>
              <w:top w:val="single" w:color="CCCCCC" w:sz="1"/>
              <w:left w:val="single" w:color="CCCCCC" w:sz="1"/>
              <w:bottom w:val="single" w:color="CCCCCC" w:sz="1"/>
              <w:right w:val="single" w:color="CCCCCC" w:sz="1"/>
            </w:tcBorders>
            <w:shd w:fill="e2e8f0" w:val="clear"/>
          </w:tcPr>
          <w:p>
            <w:r>
              <w:rPr>
                <w:b/>
                <w:bCs/>
              </w:rPr>
              <w:t xml:space="preserve">TOTAL (typical remittance)</w:t>
            </w:r>
          </w:p>
        </w:tc>
        <w:tc>
          <w:tcPr>
            <w:tcW w:type="dxa" w:w="2500"/>
            <w:tcBorders>
              <w:top w:val="single" w:color="CCCCCC" w:sz="1"/>
              <w:left w:val="single" w:color="CCCCCC" w:sz="1"/>
              <w:bottom w:val="single" w:color="CCCCCC" w:sz="1"/>
              <w:right w:val="single" w:color="CCCCCC" w:sz="1"/>
            </w:tcBorders>
            <w:shd w:fill="e2e8f0" w:val="clear"/>
          </w:tcPr>
          <w:p>
            <w:pPr>
              <w:jc w:val="center"/>
            </w:pPr>
            <w:r>
              <w:rPr>
                <w:b/>
                <w:bCs/>
              </w:rPr>
              <w:t xml:space="preserve">2-7%</w:t>
            </w:r>
          </w:p>
        </w:tc>
        <w:tc>
          <w:tcPr>
            <w:tcW w:type="dxa" w:w="3360"/>
            <w:tcBorders>
              <w:top w:val="single" w:color="CCCCCC" w:sz="1"/>
              <w:left w:val="single" w:color="CCCCCC" w:sz="1"/>
              <w:bottom w:val="single" w:color="CCCCCC" w:sz="1"/>
              <w:right w:val="single" w:color="CCCCCC" w:sz="1"/>
            </w:tcBorders>
            <w:shd w:fill="e2e8f0" w:val="clear"/>
          </w:tcPr>
          <w:p>
            <w:r>
              <w:rPr>
                <w:b/>
                <w:bCs/>
              </w:rPr>
              <w:t xml:space="preserve">World Bank average: 6.49%</w:t>
            </w:r>
          </w:p>
        </w:tc>
      </w:tr>
    </w:tbl>
    <w:p>
      <w:pPr>
        <w:spacing w:before="200" w:after="200"/>
      </w:pPr>
      <w:r>
        <w:rPr>
          <w:i/>
          <w:iCs/>
          <w:color w:val="718096"/>
          <w:sz w:val="18"/>
          <w:szCs w:val="18"/>
        </w:rPr>
        <w:t xml:space="preserve">Source: World Bank Remittance Prices Worldwide Q1 2025, Wise fee disclosures, industry research</w:t>
      </w:r>
    </w:p>
    <w:p>
      <w:pPr>
        <w:pStyle w:val="Heading2"/>
        <w:spacing w:before="300" w:after="150"/>
      </w:pPr>
      <w:r>
        <w:rPr>
          <w:b/>
          <w:bCs/>
        </w:rPr>
        <w:t xml:space="preserve">2.4 Market Size Context</w:t>
      </w:r>
    </w:p>
    <w:p>
      <w:pPr>
        <w:spacing w:after="120"/>
      </w:pPr>
      <w:r>
        <w:t xml:space="preserve">Understanding the scale of the opportunity:</w:t>
      </w:r>
    </w:p>
    <w:p>
      <w:pPr>
        <w:pStyle w:val="ListParagraph"/>
        <w:numPr>
          <w:ilvl w:val="0"/>
          <w:numId w:val="4"/>
        </w:numPr>
      </w:pPr>
      <w:r>
        <w:rPr>
          <w:b/>
          <w:bCs/>
        </w:rPr>
        <w:t xml:space="preserve">Total cross-border payments: </w:t>
      </w:r>
      <w:r>
        <w:t xml:space="preserve">$150-194 trillion annually (2024)</w:t>
      </w:r>
    </w:p>
    <w:p>
      <w:pPr>
        <w:pStyle w:val="ListParagraph"/>
        <w:numPr>
          <w:ilvl w:val="0"/>
          <w:numId w:val="4"/>
        </w:numPr>
      </w:pPr>
      <w:r>
        <w:rPr>
          <w:b/>
          <w:bCs/>
        </w:rPr>
        <w:t xml:space="preserve">Global remittances: </w:t>
      </w:r>
      <w:r>
        <w:t xml:space="preserve">$905 billion (2024), with $656B to developing countries</w:t>
      </w:r>
    </w:p>
    <w:p>
      <w:pPr>
        <w:pStyle w:val="ListParagraph"/>
        <w:numPr>
          <w:ilvl w:val="0"/>
          <w:numId w:val="4"/>
        </w:numPr>
      </w:pPr>
      <w:r>
        <w:rPr>
          <w:b/>
          <w:bCs/>
        </w:rPr>
        <w:t xml:space="preserve">Revenue pool: </w:t>
      </w:r>
      <w:r>
        <w:t xml:space="preserve">$193-212 billion in fees and FX margins</w:t>
      </w:r>
    </w:p>
    <w:p>
      <w:pPr>
        <w:pStyle w:val="ListParagraph"/>
        <w:numPr>
          <w:ilvl w:val="0"/>
          <w:numId w:val="4"/>
        </w:numPr>
      </w:pPr>
      <w:r>
        <w:rPr>
          <w:b/>
          <w:bCs/>
        </w:rPr>
        <w:t xml:space="preserve">Average global remittance cost: </w:t>
      </w:r>
      <w:r>
        <w:t xml:space="preserve">6.49% (Q1 2025)</w:t>
      </w:r>
    </w:p>
    <w:p>
      <w:pPr>
        <w:pStyle w:val="ListParagraph"/>
        <w:numPr>
          <w:ilvl w:val="0"/>
          <w:numId w:val="4"/>
        </w:numPr>
      </w:pPr>
      <w:r>
        <w:rPr>
          <w:b/>
          <w:bCs/>
        </w:rPr>
        <w:t xml:space="preserve">Digital remittance cost: </w:t>
      </w:r>
      <w:r>
        <w:t xml:space="preserve">~5% vs. 7% for non-digital</w:t>
      </w:r>
    </w:p>
    <w:p>
      <w:r>
        <w:br w:type="page"/>
      </w:r>
    </w:p>
    <w:p>
      <w:pPr>
        <w:pStyle w:val="Heading1"/>
        <w:spacing w:before="400" w:after="200"/>
      </w:pPr>
      <w:r>
        <w:rPr>
          <w:b/>
          <w:bCs/>
        </w:rPr>
        <w:t xml:space="preserve">3. The ODL Cost Model</w:t>
      </w:r>
    </w:p>
    <w:p>
      <w:pPr>
        <w:pStyle w:val="Heading2"/>
        <w:spacing w:before="300" w:after="150"/>
      </w:pPr>
      <w:r>
        <w:rPr>
          <w:b/>
          <w:bCs/>
        </w:rPr>
        <w:t xml:space="preserve">3.1 How ODL Works</w:t>
      </w:r>
    </w:p>
    <w:p>
      <w:pPr>
        <w:spacing w:after="120"/>
      </w:pPr>
      <w:r>
        <w:t xml:space="preserve">On-Demand Liquidity replaces the correspondent banking chain with a cryptocurrency-mediated transfer:</w:t>
      </w:r>
    </w:p>
    <w:p>
      <w:pPr>
        <w:pStyle w:val="ListParagraph"/>
        <w:numPr>
          <w:ilvl w:val="0"/>
          <w:numId w:val="5"/>
        </w:numPr>
      </w:pPr>
      <w:r>
        <w:rPr>
          <w:b/>
          <w:bCs/>
        </w:rPr>
        <w:t xml:space="preserve">Step 1: </w:t>
      </w:r>
      <w:r>
        <w:t xml:space="preserve">Source currency (e.g., USD) is converted to XRP at origin exchange</w:t>
      </w:r>
    </w:p>
    <w:p>
      <w:pPr>
        <w:pStyle w:val="ListParagraph"/>
        <w:numPr>
          <w:ilvl w:val="0"/>
          <w:numId w:val="5"/>
        </w:numPr>
      </w:pPr>
      <w:r>
        <w:rPr>
          <w:b/>
          <w:bCs/>
        </w:rPr>
        <w:t xml:space="preserve">Step 2: </w:t>
      </w:r>
      <w:r>
        <w:t xml:space="preserve">XRP transfers via XRP Ledger in 3-5 seconds</w:t>
      </w:r>
    </w:p>
    <w:p>
      <w:pPr>
        <w:pStyle w:val="ListParagraph"/>
        <w:numPr>
          <w:ilvl w:val="0"/>
          <w:numId w:val="5"/>
        </w:numPr>
      </w:pPr>
      <w:r>
        <w:rPr>
          <w:b/>
          <w:bCs/>
        </w:rPr>
        <w:t xml:space="preserve">Step 3: </w:t>
      </w:r>
      <w:r>
        <w:t xml:space="preserve">XRP is converted to destination currency (e.g., PHP) at destination exchange</w:t>
      </w:r>
    </w:p>
    <w:p>
      <w:pPr>
        <w:pStyle w:val="ListParagraph"/>
        <w:numPr>
          <w:ilvl w:val="0"/>
          <w:numId w:val="5"/>
        </w:numPr>
      </w:pPr>
      <w:r>
        <w:rPr>
          <w:b/>
          <w:bCs/>
        </w:rPr>
        <w:t xml:space="preserve">Step 4: </w:t>
      </w:r>
      <w:r>
        <w:t xml:space="preserve">Recipient receives funds in local currency</w:t>
      </w:r>
    </w:p>
    <w:p>
      <w:pPr>
        <w:spacing w:after="120"/>
      </w:pPr>
      <w:r>
        <w:t xml:space="preserve">The entire process can complete in minutes rather than days, with no pre-funded accounts required.</w:t>
      </w:r>
    </w:p>
    <w:p>
      <w:pPr>
        <w:pStyle w:val="Heading2"/>
        <w:spacing w:before="300" w:after="150"/>
      </w:pPr>
      <w:r>
        <w:rPr>
          <w:b/>
          <w:bCs/>
        </w:rPr>
        <w:t xml:space="preserve">3.2 ODL Cost Components</w:t>
      </w:r>
    </w:p>
    <w:p>
      <w:pPr>
        <w:spacing w:after="120"/>
      </w:pPr>
      <w:r>
        <w:t xml:space="preserve">The total cost of an ODL transaction consists of:</w:t>
      </w:r>
    </w:p>
    <w:p>
      <w:pPr>
        <w:pStyle w:val="Heading3"/>
        <w:spacing w:before="200" w:after="100"/>
      </w:pPr>
      <w:r>
        <w:rPr>
          <w:b/>
          <w:bCs/>
        </w:rPr>
        <w:t xml:space="preserve">ODL Total Cost Formula</w:t>
      </w:r>
    </w:p>
    <w:p>
      <w:pPr>
        <w:shd w:fill="f1f5f9" w:val="clear"/>
        <w:spacing w:before="100" w:after="100"/>
        <w:jc w:val="center"/>
      </w:pPr>
      <w:r>
        <w:rPr>
          <w:rFonts w:ascii="Courier New" w:cs="Courier New" w:eastAsia="Courier New" w:hAnsi="Courier New"/>
          <w:sz w:val="24"/>
          <w:szCs w:val="24"/>
        </w:rPr>
        <w:t xml:space="preserve">C_ODL = S₁ + S₂ + F_e1 + F_e2 + F_provider + σ_volatility</w:t>
      </w:r>
    </w:p>
    <w:p>
      <w:pPr>
        <w:spacing w:after="120"/>
      </w:pPr>
      <w:r>
        <w:t xml:space="preserve">Where:</w:t>
      </w:r>
    </w:p>
    <w:p>
      <w:pPr>
        <w:pStyle w:val="ListParagraph"/>
        <w:numPr>
          <w:ilvl w:val="0"/>
          <w:numId w:val="5"/>
        </w:numPr>
      </w:pPr>
      <w:r>
        <w:rPr>
          <w:b/>
          <w:bCs/>
        </w:rPr>
        <w:t xml:space="preserve">S₁ = </w:t>
      </w:r>
      <w:r>
        <w:t xml:space="preserve">Spread at origin exchange (bid-ask spread for USD→XRP)</w:t>
      </w:r>
    </w:p>
    <w:p>
      <w:pPr>
        <w:pStyle w:val="ListParagraph"/>
        <w:numPr>
          <w:ilvl w:val="0"/>
          <w:numId w:val="5"/>
        </w:numPr>
      </w:pPr>
      <w:r>
        <w:rPr>
          <w:b/>
          <w:bCs/>
        </w:rPr>
        <w:t xml:space="preserve">S₂ = </w:t>
      </w:r>
      <w:r>
        <w:t xml:space="preserve">Spread at destination exchange (bid-ask spread for XRP→PHP)</w:t>
      </w:r>
    </w:p>
    <w:p>
      <w:pPr>
        <w:pStyle w:val="ListParagraph"/>
        <w:numPr>
          <w:ilvl w:val="0"/>
          <w:numId w:val="5"/>
        </w:numPr>
      </w:pPr>
      <w:r>
        <w:rPr>
          <w:b/>
          <w:bCs/>
        </w:rPr>
        <w:t xml:space="preserve">F_e1 = </w:t>
      </w:r>
      <w:r>
        <w:t xml:space="preserve">Origin exchange trading fee</w:t>
      </w:r>
    </w:p>
    <w:p>
      <w:pPr>
        <w:pStyle w:val="ListParagraph"/>
        <w:numPr>
          <w:ilvl w:val="0"/>
          <w:numId w:val="5"/>
        </w:numPr>
      </w:pPr>
      <w:r>
        <w:rPr>
          <w:b/>
          <w:bCs/>
        </w:rPr>
        <w:t xml:space="preserve">F_e2 = </w:t>
      </w:r>
      <w:r>
        <w:t xml:space="preserve">Destination exchange trading fee</w:t>
      </w:r>
    </w:p>
    <w:p>
      <w:pPr>
        <w:pStyle w:val="ListParagraph"/>
        <w:numPr>
          <w:ilvl w:val="0"/>
          <w:numId w:val="5"/>
        </w:numPr>
      </w:pPr>
      <w:r>
        <w:rPr>
          <w:b/>
          <w:bCs/>
        </w:rPr>
        <w:t xml:space="preserve">F_provider = </w:t>
      </w:r>
      <w:r>
        <w:t xml:space="preserve">ODL provider margin (Ripple partner fee)</w:t>
      </w:r>
    </w:p>
    <w:p>
      <w:pPr>
        <w:pStyle w:val="ListParagraph"/>
        <w:numPr>
          <w:ilvl w:val="0"/>
          <w:numId w:val="5"/>
        </w:numPr>
      </w:pPr>
      <w:r>
        <w:rPr>
          <w:b/>
          <w:bCs/>
        </w:rPr>
        <w:t xml:space="preserve">σ_volatility = </w:t>
      </w:r>
      <w:r>
        <w:t xml:space="preserve">Volatility risk during settlement window</w:t>
      </w:r>
    </w:p>
    <w:p>
      <w:pPr>
        <w:spacing w:after="120"/>
      </w:pPr>
      <w:r>
        <w:t xml:space="preserve">Note: XRPL transaction fees are negligible (&lt;$0.01) and excluded from analysis.</w:t>
      </w:r>
    </w:p>
    <w:p>
      <w:pPr>
        <w:pStyle w:val="Heading2"/>
        <w:spacing w:before="300" w:after="150"/>
      </w:pPr>
      <w:r>
        <w:rPr>
          <w:b/>
          <w:bCs/>
        </w:rPr>
        <w:t xml:space="preserve">3.3 Typical ODL Cost Breakdown</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4000"/>
        <w:gridCol w:w="2000"/>
        <w:gridCol w:w="3360"/>
      </w:tblGrid>
      <w:tr>
        <w:trPr>
          <w:tblHeader/>
        </w:trPr>
        <w:tc>
          <w:tcPr>
            <w:tcW w:type="dxa" w:w="4000"/>
            <w:tcBorders>
              <w:top w:val="single" w:color="CCCCCC" w:sz="1"/>
              <w:left w:val="single" w:color="CCCCCC" w:sz="1"/>
              <w:bottom w:val="single" w:color="CCCCCC" w:sz="1"/>
              <w:right w:val="single" w:color="CCCCCC" w:sz="1"/>
            </w:tcBorders>
            <w:shd w:fill="1a365d" w:val="clear"/>
          </w:tcPr>
          <w:p>
            <w:pPr>
              <w:jc w:val="center"/>
            </w:pPr>
            <w:r>
              <w:rPr>
                <w:b/>
                <w:bCs/>
                <w:color w:val="FFFFFF"/>
              </w:rPr>
              <w:t xml:space="preserve">Component</w:t>
            </w:r>
          </w:p>
        </w:tc>
        <w:tc>
          <w:tcPr>
            <w:tcW w:type="dxa" w:w="2000"/>
            <w:tcBorders>
              <w:top w:val="single" w:color="CCCCCC" w:sz="1"/>
              <w:left w:val="single" w:color="CCCCCC" w:sz="1"/>
              <w:bottom w:val="single" w:color="CCCCCC" w:sz="1"/>
              <w:right w:val="single" w:color="CCCCCC" w:sz="1"/>
            </w:tcBorders>
            <w:shd w:fill="1a365d" w:val="clear"/>
          </w:tcPr>
          <w:p>
            <w:pPr>
              <w:jc w:val="center"/>
            </w:pPr>
            <w:r>
              <w:rPr>
                <w:b/>
                <w:bCs/>
                <w:color w:val="FFFFFF"/>
              </w:rPr>
              <w:t xml:space="preserve">Range</w:t>
            </w:r>
          </w:p>
        </w:tc>
        <w:tc>
          <w:tcPr>
            <w:tcW w:type="dxa" w:w="3360"/>
            <w:tcBorders>
              <w:top w:val="single" w:color="CCCCCC" w:sz="1"/>
              <w:left w:val="single" w:color="CCCCCC" w:sz="1"/>
              <w:bottom w:val="single" w:color="CCCCCC" w:sz="1"/>
              <w:right w:val="single" w:color="CCCCCC" w:sz="1"/>
            </w:tcBorders>
            <w:shd w:fill="1a365d" w:val="clear"/>
          </w:tcPr>
          <w:p>
            <w:pPr>
              <w:jc w:val="center"/>
            </w:pPr>
            <w:r>
              <w:rPr>
                <w:b/>
                <w:bCs/>
                <w:color w:val="FFFFFF"/>
              </w:rPr>
              <w:t xml:space="preserve">Notes</w:t>
            </w:r>
          </w:p>
        </w:tc>
      </w:tr>
      <w:tr>
        <w:tc>
          <w:tcPr>
            <w:tcW w:type="dxa" w:w="4000"/>
            <w:tcBorders>
              <w:top w:val="single" w:color="CCCCCC" w:sz="1"/>
              <w:left w:val="single" w:color="CCCCCC" w:sz="1"/>
              <w:bottom w:val="single" w:color="CCCCCC" w:sz="1"/>
              <w:right w:val="single" w:color="CCCCCC" w:sz="1"/>
            </w:tcBorders>
          </w:tcPr>
          <w:p>
            <w:r>
              <w:t xml:space="preserve">Origin Exchange Spread (S₁)</w:t>
            </w:r>
          </w:p>
        </w:tc>
        <w:tc>
          <w:tcPr>
            <w:tcW w:type="dxa" w:w="2000"/>
            <w:tcBorders>
              <w:top w:val="single" w:color="CCCCCC" w:sz="1"/>
              <w:left w:val="single" w:color="CCCCCC" w:sz="1"/>
              <w:bottom w:val="single" w:color="CCCCCC" w:sz="1"/>
              <w:right w:val="single" w:color="CCCCCC" w:sz="1"/>
            </w:tcBorders>
          </w:tcPr>
          <w:p>
            <w:pPr>
              <w:jc w:val="center"/>
            </w:pPr>
            <w:r>
              <w:t xml:space="preserve">0.1-0.5%</w:t>
            </w:r>
          </w:p>
        </w:tc>
        <w:tc>
          <w:tcPr>
            <w:tcW w:type="dxa" w:w="3360"/>
            <w:tcBorders>
              <w:top w:val="single" w:color="CCCCCC" w:sz="1"/>
              <w:left w:val="single" w:color="CCCCCC" w:sz="1"/>
              <w:bottom w:val="single" w:color="CCCCCC" w:sz="1"/>
              <w:right w:val="single" w:color="CCCCCC" w:sz="1"/>
            </w:tcBorders>
          </w:tcPr>
          <w:p>
            <w:r>
              <w:t xml:space="preserve">Deep USD pairs</w:t>
            </w:r>
          </w:p>
        </w:tc>
      </w:tr>
      <w:tr>
        <w:tc>
          <w:tcPr>
            <w:tcW w:type="dxa" w:w="4000"/>
            <w:tcBorders>
              <w:top w:val="single" w:color="CCCCCC" w:sz="1"/>
              <w:left w:val="single" w:color="CCCCCC" w:sz="1"/>
              <w:bottom w:val="single" w:color="CCCCCC" w:sz="1"/>
              <w:right w:val="single" w:color="CCCCCC" w:sz="1"/>
            </w:tcBorders>
            <w:shd w:fill="f8fafc" w:val="clear"/>
          </w:tcPr>
          <w:p>
            <w:r>
              <w:t xml:space="preserve">Destination Exchange Spread (S₂)</w:t>
            </w:r>
          </w:p>
        </w:tc>
        <w:tc>
          <w:tcPr>
            <w:tcW w:type="dxa" w:w="2000"/>
            <w:tcBorders>
              <w:top w:val="single" w:color="CCCCCC" w:sz="1"/>
              <w:left w:val="single" w:color="CCCCCC" w:sz="1"/>
              <w:bottom w:val="single" w:color="CCCCCC" w:sz="1"/>
              <w:right w:val="single" w:color="CCCCCC" w:sz="1"/>
            </w:tcBorders>
            <w:shd w:fill="f8fafc" w:val="clear"/>
          </w:tcPr>
          <w:p>
            <w:pPr>
              <w:jc w:val="center"/>
            </w:pPr>
            <w:r>
              <w:t xml:space="preserve">0.2-1.5%</w:t>
            </w:r>
          </w:p>
        </w:tc>
        <w:tc>
          <w:tcPr>
            <w:tcW w:type="dxa" w:w="3360"/>
            <w:tcBorders>
              <w:top w:val="single" w:color="CCCCCC" w:sz="1"/>
              <w:left w:val="single" w:color="CCCCCC" w:sz="1"/>
              <w:bottom w:val="single" w:color="CCCCCC" w:sz="1"/>
              <w:right w:val="single" w:color="CCCCCC" w:sz="1"/>
            </w:tcBorders>
            <w:shd w:fill="f8fafc" w:val="clear"/>
          </w:tcPr>
          <w:p>
            <w:r>
              <w:t xml:space="preserve">Varies by corridor</w:t>
            </w:r>
          </w:p>
        </w:tc>
      </w:tr>
      <w:tr>
        <w:tc>
          <w:tcPr>
            <w:tcW w:type="dxa" w:w="4000"/>
            <w:tcBorders>
              <w:top w:val="single" w:color="CCCCCC" w:sz="1"/>
              <w:left w:val="single" w:color="CCCCCC" w:sz="1"/>
              <w:bottom w:val="single" w:color="CCCCCC" w:sz="1"/>
              <w:right w:val="single" w:color="CCCCCC" w:sz="1"/>
            </w:tcBorders>
          </w:tcPr>
          <w:p>
            <w:r>
              <w:t xml:space="preserve">Exchange Fees (F_e1 + F_e2)</w:t>
            </w:r>
          </w:p>
        </w:tc>
        <w:tc>
          <w:tcPr>
            <w:tcW w:type="dxa" w:w="2000"/>
            <w:tcBorders>
              <w:top w:val="single" w:color="CCCCCC" w:sz="1"/>
              <w:left w:val="single" w:color="CCCCCC" w:sz="1"/>
              <w:bottom w:val="single" w:color="CCCCCC" w:sz="1"/>
              <w:right w:val="single" w:color="CCCCCC" w:sz="1"/>
            </w:tcBorders>
          </w:tcPr>
          <w:p>
            <w:pPr>
              <w:jc w:val="center"/>
            </w:pPr>
            <w:r>
              <w:t xml:space="preserve">0.1-0.3%</w:t>
            </w:r>
          </w:p>
        </w:tc>
        <w:tc>
          <w:tcPr>
            <w:tcW w:type="dxa" w:w="3360"/>
            <w:tcBorders>
              <w:top w:val="single" w:color="CCCCCC" w:sz="1"/>
              <w:left w:val="single" w:color="CCCCCC" w:sz="1"/>
              <w:bottom w:val="single" w:color="CCCCCC" w:sz="1"/>
              <w:right w:val="single" w:color="CCCCCC" w:sz="1"/>
            </w:tcBorders>
          </w:tcPr>
          <w:p>
            <w:r>
              <w:t xml:space="preserve">Combined both sides</w:t>
            </w:r>
          </w:p>
        </w:tc>
      </w:tr>
      <w:tr>
        <w:tc>
          <w:tcPr>
            <w:tcW w:type="dxa" w:w="4000"/>
            <w:tcBorders>
              <w:top w:val="single" w:color="CCCCCC" w:sz="1"/>
              <w:left w:val="single" w:color="CCCCCC" w:sz="1"/>
              <w:bottom w:val="single" w:color="CCCCCC" w:sz="1"/>
              <w:right w:val="single" w:color="CCCCCC" w:sz="1"/>
            </w:tcBorders>
            <w:shd w:fill="f8fafc" w:val="clear"/>
          </w:tcPr>
          <w:p>
            <w:r>
              <w:t xml:space="preserve">Provider Margin (F_provider)</w:t>
            </w:r>
          </w:p>
        </w:tc>
        <w:tc>
          <w:tcPr>
            <w:tcW w:type="dxa" w:w="2000"/>
            <w:tcBorders>
              <w:top w:val="single" w:color="CCCCCC" w:sz="1"/>
              <w:left w:val="single" w:color="CCCCCC" w:sz="1"/>
              <w:bottom w:val="single" w:color="CCCCCC" w:sz="1"/>
              <w:right w:val="single" w:color="CCCCCC" w:sz="1"/>
            </w:tcBorders>
            <w:shd w:fill="f8fafc" w:val="clear"/>
          </w:tcPr>
          <w:p>
            <w:pPr>
              <w:jc w:val="center"/>
            </w:pPr>
            <w:r>
              <w:t xml:space="preserve">0.5-1.0%</w:t>
            </w:r>
          </w:p>
        </w:tc>
        <w:tc>
          <w:tcPr>
            <w:tcW w:type="dxa" w:w="3360"/>
            <w:tcBorders>
              <w:top w:val="single" w:color="CCCCCC" w:sz="1"/>
              <w:left w:val="single" w:color="CCCCCC" w:sz="1"/>
              <w:bottom w:val="single" w:color="CCCCCC" w:sz="1"/>
              <w:right w:val="single" w:color="CCCCCC" w:sz="1"/>
            </w:tcBorders>
            <w:shd w:fill="f8fafc" w:val="clear"/>
          </w:tcPr>
          <w:p>
            <w:r>
              <w:t xml:space="preserve">ODL partner fee</w:t>
            </w:r>
          </w:p>
        </w:tc>
      </w:tr>
      <w:tr>
        <w:tc>
          <w:tcPr>
            <w:tcW w:type="dxa" w:w="4000"/>
            <w:tcBorders>
              <w:top w:val="single" w:color="CCCCCC" w:sz="1"/>
              <w:left w:val="single" w:color="CCCCCC" w:sz="1"/>
              <w:bottom w:val="single" w:color="CCCCCC" w:sz="1"/>
              <w:right w:val="single" w:color="CCCCCC" w:sz="1"/>
            </w:tcBorders>
          </w:tcPr>
          <w:p>
            <w:r>
              <w:t xml:space="preserve">Volatility Risk (σ)</w:t>
            </w:r>
          </w:p>
        </w:tc>
        <w:tc>
          <w:tcPr>
            <w:tcW w:type="dxa" w:w="2000"/>
            <w:tcBorders>
              <w:top w:val="single" w:color="CCCCCC" w:sz="1"/>
              <w:left w:val="single" w:color="CCCCCC" w:sz="1"/>
              <w:bottom w:val="single" w:color="CCCCCC" w:sz="1"/>
              <w:right w:val="single" w:color="CCCCCC" w:sz="1"/>
            </w:tcBorders>
          </w:tcPr>
          <w:p>
            <w:pPr>
              <w:jc w:val="center"/>
            </w:pPr>
            <w:r>
              <w:t xml:space="preserve">0-0.5%</w:t>
            </w:r>
          </w:p>
        </w:tc>
        <w:tc>
          <w:tcPr>
            <w:tcW w:type="dxa" w:w="3360"/>
            <w:tcBorders>
              <w:top w:val="single" w:color="CCCCCC" w:sz="1"/>
              <w:left w:val="single" w:color="CCCCCC" w:sz="1"/>
              <w:bottom w:val="single" w:color="CCCCCC" w:sz="1"/>
              <w:right w:val="single" w:color="CCCCCC" w:sz="1"/>
            </w:tcBorders>
          </w:tcPr>
          <w:p>
            <w:r>
              <w:t xml:space="preserve">During settlement</w:t>
            </w:r>
          </w:p>
        </w:tc>
      </w:tr>
      <w:tr>
        <w:tc>
          <w:tcPr>
            <w:tcW w:type="dxa" w:w="4000"/>
            <w:tcBorders>
              <w:top w:val="single" w:color="CCCCCC" w:sz="1"/>
              <w:left w:val="single" w:color="CCCCCC" w:sz="1"/>
              <w:bottom w:val="single" w:color="CCCCCC" w:sz="1"/>
              <w:right w:val="single" w:color="CCCCCC" w:sz="1"/>
            </w:tcBorders>
            <w:shd w:fill="e2e8f0" w:val="clear"/>
          </w:tcPr>
          <w:p>
            <w:r>
              <w:rPr>
                <w:b/>
                <w:bCs/>
              </w:rPr>
              <w:t xml:space="preserve">TOTAL ODL COST</w:t>
            </w:r>
          </w:p>
        </w:tc>
        <w:tc>
          <w:tcPr>
            <w:tcW w:type="dxa" w:w="2000"/>
            <w:tcBorders>
              <w:top w:val="single" w:color="CCCCCC" w:sz="1"/>
              <w:left w:val="single" w:color="CCCCCC" w:sz="1"/>
              <w:bottom w:val="single" w:color="CCCCCC" w:sz="1"/>
              <w:right w:val="single" w:color="CCCCCC" w:sz="1"/>
            </w:tcBorders>
            <w:shd w:fill="e2e8f0" w:val="clear"/>
          </w:tcPr>
          <w:p>
            <w:pPr>
              <w:jc w:val="center"/>
            </w:pPr>
            <w:r>
              <w:rPr>
                <w:b/>
                <w:bCs/>
              </w:rPr>
              <w:t xml:space="preserve">1.0-3.5%</w:t>
            </w:r>
          </w:p>
        </w:tc>
        <w:tc>
          <w:tcPr>
            <w:tcW w:type="dxa" w:w="3360"/>
            <w:tcBorders>
              <w:top w:val="single" w:color="CCCCCC" w:sz="1"/>
              <w:left w:val="single" w:color="CCCCCC" w:sz="1"/>
              <w:bottom w:val="single" w:color="CCCCCC" w:sz="1"/>
              <w:right w:val="single" w:color="CCCCCC" w:sz="1"/>
            </w:tcBorders>
            <w:shd w:fill="e2e8f0" w:val="clear"/>
          </w:tcPr>
          <w:p>
            <w:r>
              <w:rPr>
                <w:b/>
                <w:bCs/>
              </w:rPr>
              <w:t xml:space="preserve">Highly corridor-dependent</w:t>
            </w:r>
          </w:p>
        </w:tc>
      </w:tr>
    </w:tbl>
    <w:p>
      <w:pPr>
        <w:pStyle w:val="Heading2"/>
        <w:spacing w:before="300" w:after="150"/>
      </w:pPr>
      <w:r>
        <w:rPr>
          <w:b/>
          <w:bCs/>
        </w:rPr>
        <w:t xml:space="preserve">3.4 The Critical Variable: Liquidity Depth</w:t>
      </w:r>
    </w:p>
    <w:p>
      <w:pPr>
        <w:spacing w:after="120"/>
      </w:pPr>
      <w:r>
        <w:t xml:space="preserve">The single most important variable in ODL economics is liquidity depth. Exchange spreads are not fixed—they widen dramatically as order sizes increase relative to available liquidity.</w:t>
      </w:r>
    </w:p>
    <w:p>
      <w:pPr>
        <w:pStyle w:val="Heading3"/>
        <w:spacing w:before="200" w:after="100"/>
      </w:pPr>
      <w:r>
        <w:rPr>
          <w:b/>
          <w:bCs/>
        </w:rPr>
        <w:t xml:space="preserve">Spread-to-Depth Relationship</w:t>
      </w:r>
    </w:p>
    <w:p>
      <w:pPr>
        <w:shd w:fill="f1f5f9" w:val="clear"/>
        <w:spacing w:before="100" w:after="100"/>
        <w:jc w:val="center"/>
      </w:pPr>
      <w:r>
        <w:rPr>
          <w:rFonts w:ascii="Courier New" w:cs="Courier New" w:eastAsia="Courier New" w:hAnsi="Courier New"/>
          <w:sz w:val="22"/>
          <w:szCs w:val="22"/>
        </w:rPr>
        <w:t xml:space="preserve">Effective_Spread ≈ Base_Spread × (1 + Order_Size / Liquidity_Depth)^α</w:t>
      </w:r>
    </w:p>
    <w:p>
      <w:pPr>
        <w:spacing w:after="120"/>
      </w:pPr>
      <w:r>
        <w:t xml:space="preserve">Where α typically ranges from 0.5 to 1.5 depending on market microstructure.</w:t>
      </w:r>
    </w:p>
    <w:p>
      <w:pPr>
        <w:spacing w:after="120"/>
      </w:pPr>
      <w:r>
        <w:t xml:space="preserve">Practical implication: A corridor with 0.3% base spread but $500K daily liquidity will see effective spreads of 1-2% for $50K transactions, potentially eliminating ODL's cost advantage entirely.</w:t>
      </w:r>
    </w:p>
    <w:p>
      <w:pPr>
        <w:pStyle w:val="Heading3"/>
        <w:spacing w:before="200" w:after="100"/>
      </w:pPr>
      <w:r>
        <w:rPr>
          <w:b/>
          <w:bCs/>
        </w:rPr>
        <w:t xml:space="preserve">Minimum Liquidity Threshold</w:t>
      </w:r>
    </w:p>
    <w:p>
      <w:pPr>
        <w:shd w:fill="f1f5f9" w:val="clear"/>
        <w:spacing w:before="100" w:after="100"/>
        <w:jc w:val="center"/>
      </w:pPr>
      <w:r>
        <w:rPr>
          <w:rFonts w:ascii="Courier New" w:cs="Courier New" w:eastAsia="Courier New" w:hAnsi="Courier New"/>
          <w:sz w:val="20"/>
          <w:szCs w:val="20"/>
        </w:rPr>
        <w:t xml:space="preserve">L_min = Daily_Volume × Max_Single_Tx × Slippage_Tolerance × Safety_Factor</w:t>
      </w:r>
    </w:p>
    <w:p>
      <w:pPr>
        <w:spacing w:after="120"/>
      </w:pPr>
      <w:r>
        <w:t xml:space="preserve">For a corridor processing $10M daily with $50K max transaction size and 1% slippage tolerance:</w:t>
      </w:r>
    </w:p>
    <w:p>
      <w:pPr>
        <w:spacing w:after="120"/>
      </w:pPr>
      <w:r>
        <w:t xml:space="preserve">L_min = $10M × 0.005 × 0.01 × 3 = $1.5M minimum orderbook depth</w:t>
      </w:r>
    </w:p>
    <w:p>
      <w:r>
        <w:br w:type="page"/>
      </w:r>
    </w:p>
    <w:p>
      <w:pPr>
        <w:pStyle w:val="Heading1"/>
        <w:spacing w:before="400" w:after="200"/>
      </w:pPr>
      <w:r>
        <w:rPr>
          <w:b/>
          <w:bCs/>
        </w:rPr>
        <w:t xml:space="preserve">4. Corridor Viability Scoring Framework</w:t>
      </w:r>
    </w:p>
    <w:p>
      <w:pPr>
        <w:pStyle w:val="Heading2"/>
        <w:spacing w:before="300" w:after="150"/>
      </w:pPr>
      <w:r>
        <w:rPr>
          <w:b/>
          <w:bCs/>
        </w:rPr>
        <w:t xml:space="preserve">4.1 The OCEM Viability Score</w:t>
      </w:r>
    </w:p>
    <w:p>
      <w:pPr>
        <w:spacing w:after="120"/>
      </w:pPr>
      <w:r>
        <w:t xml:space="preserve">We propose a multi-factor scoring system to evaluate corridor viability:</w:t>
      </w:r>
    </w:p>
    <w:p>
      <w:pPr>
        <w:pStyle w:val="Heading3"/>
        <w:spacing w:before="200" w:after="100"/>
      </w:pPr>
      <w:r>
        <w:rPr>
          <w:b/>
          <w:bCs/>
        </w:rPr>
        <w:t xml:space="preserve">Viability Score Formula</w:t>
      </w:r>
    </w:p>
    <w:p>
      <w:pPr>
        <w:shd w:fill="f1f5f9" w:val="clear"/>
        <w:spacing w:before="100" w:after="100"/>
        <w:jc w:val="center"/>
      </w:pPr>
      <w:r>
        <w:rPr>
          <w:rFonts w:ascii="Courier New" w:cs="Courier New" w:eastAsia="Courier New" w:hAnsi="Courier New"/>
          <w:sz w:val="24"/>
          <w:szCs w:val="24"/>
        </w:rPr>
        <w:t xml:space="preserve">V = (C_trad - C_ODL) × Volume × (1 - R_reg) × L_score</w:t>
      </w:r>
    </w:p>
    <w:p>
      <w:pPr>
        <w:spacing w:after="120"/>
      </w:pPr>
      <w:r>
        <w:t xml:space="preserve">Where:</w:t>
      </w:r>
    </w:p>
    <w:p>
      <w:pPr>
        <w:pStyle w:val="ListParagraph"/>
        <w:numPr>
          <w:ilvl w:val="0"/>
          <w:numId w:val="6"/>
        </w:numPr>
      </w:pPr>
      <w:r>
        <w:rPr>
          <w:b/>
          <w:bCs/>
        </w:rPr>
        <w:t xml:space="preserve">C_trad = </w:t>
      </w:r>
      <w:r>
        <w:t xml:space="preserve">Traditional corridor cost (as % of transaction)</w:t>
      </w:r>
    </w:p>
    <w:p>
      <w:pPr>
        <w:pStyle w:val="ListParagraph"/>
        <w:numPr>
          <w:ilvl w:val="0"/>
          <w:numId w:val="6"/>
        </w:numPr>
      </w:pPr>
      <w:r>
        <w:rPr>
          <w:b/>
          <w:bCs/>
        </w:rPr>
        <w:t xml:space="preserve">C_ODL = </w:t>
      </w:r>
      <w:r>
        <w:t xml:space="preserve">ODL corridor cost (as % of transaction)</w:t>
      </w:r>
    </w:p>
    <w:p>
      <w:pPr>
        <w:pStyle w:val="ListParagraph"/>
        <w:numPr>
          <w:ilvl w:val="0"/>
          <w:numId w:val="6"/>
        </w:numPr>
      </w:pPr>
      <w:r>
        <w:rPr>
          <w:b/>
          <w:bCs/>
        </w:rPr>
        <w:t xml:space="preserve">Volume = </w:t>
      </w:r>
      <w:r>
        <w:t xml:space="preserve">Annual corridor volume in USD</w:t>
      </w:r>
    </w:p>
    <w:p>
      <w:pPr>
        <w:pStyle w:val="ListParagraph"/>
        <w:numPr>
          <w:ilvl w:val="0"/>
          <w:numId w:val="6"/>
        </w:numPr>
      </w:pPr>
      <w:r>
        <w:rPr>
          <w:b/>
          <w:bCs/>
        </w:rPr>
        <w:t xml:space="preserve">R_reg = </w:t>
      </w:r>
      <w:r>
        <w:t xml:space="preserve">Regulatory risk factor (0-1)</w:t>
      </w:r>
    </w:p>
    <w:p>
      <w:pPr>
        <w:pStyle w:val="ListParagraph"/>
        <w:numPr>
          <w:ilvl w:val="0"/>
          <w:numId w:val="6"/>
        </w:numPr>
      </w:pPr>
      <w:r>
        <w:rPr>
          <w:b/>
          <w:bCs/>
        </w:rPr>
        <w:t xml:space="preserve">L_score = </w:t>
      </w:r>
      <w:r>
        <w:t xml:space="preserve">Liquidity score (0-1)</w:t>
      </w:r>
    </w:p>
    <w:p>
      <w:pPr>
        <w:pStyle w:val="Heading2"/>
        <w:spacing w:before="300" w:after="150"/>
      </w:pPr>
      <w:r>
        <w:rPr>
          <w:b/>
          <w:bCs/>
        </w:rPr>
        <w:t xml:space="preserve">4.2 Scoring Component Definitions</w:t>
      </w:r>
    </w:p>
    <w:p>
      <w:pPr>
        <w:pStyle w:val="Heading3"/>
        <w:spacing w:before="200" w:after="100"/>
      </w:pPr>
      <w:r>
        <w:rPr>
          <w:b/>
          <w:bCs/>
        </w:rPr>
        <w:t xml:space="preserve">Traditional Cost (C_trad)</w:t>
      </w:r>
    </w:p>
    <w:p>
      <w:pPr>
        <w:spacing w:after="120"/>
      </w:pPr>
      <w:r>
        <w:t xml:space="preserve">Derived from World Bank Remittance Prices Worldwide database and corridor-specific research:</w:t>
      </w:r>
    </w:p>
    <w:p>
      <w:pPr>
        <w:pStyle w:val="ListParagraph"/>
        <w:numPr>
          <w:ilvl w:val="0"/>
          <w:numId w:val="6"/>
        </w:numPr>
      </w:pPr>
      <w:r>
        <w:rPr>
          <w:b/>
          <w:bCs/>
        </w:rPr>
        <w:t xml:space="preserve">High-cost corridors: </w:t>
      </w:r>
      <w:r>
        <w:t xml:space="preserve">&gt;5% (Sub-Saharan Africa, some Asia-Pacific)</w:t>
      </w:r>
    </w:p>
    <w:p>
      <w:pPr>
        <w:pStyle w:val="ListParagraph"/>
        <w:numPr>
          <w:ilvl w:val="0"/>
          <w:numId w:val="6"/>
        </w:numPr>
      </w:pPr>
      <w:r>
        <w:rPr>
          <w:b/>
          <w:bCs/>
        </w:rPr>
        <w:t xml:space="preserve">Medium-cost corridors: </w:t>
      </w:r>
      <w:r>
        <w:t xml:space="preserve">3-5% (Latin America, some Europe-Asia)</w:t>
      </w:r>
    </w:p>
    <w:p>
      <w:pPr>
        <w:pStyle w:val="ListParagraph"/>
        <w:numPr>
          <w:ilvl w:val="0"/>
          <w:numId w:val="6"/>
        </w:numPr>
      </w:pPr>
      <w:r>
        <w:rPr>
          <w:b/>
          <w:bCs/>
        </w:rPr>
        <w:t xml:space="preserve">Low-cost corridors: </w:t>
      </w:r>
      <w:r>
        <w:t xml:space="preserve">&lt;3% (Major currency pairs, US-Mexico)</w:t>
      </w:r>
    </w:p>
    <w:p>
      <w:pPr>
        <w:pStyle w:val="Heading3"/>
        <w:spacing w:before="200" w:after="100"/>
      </w:pPr>
      <w:r>
        <w:rPr>
          <w:b/>
          <w:bCs/>
        </w:rPr>
        <w:t xml:space="preserve">Liquidity Score (L_score)</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500"/>
        <w:gridCol w:w="2000"/>
        <w:gridCol w:w="3860"/>
      </w:tblGrid>
      <w:tr>
        <w:trPr>
          <w:tblHeader/>
        </w:trPr>
        <w:tc>
          <w:tcPr>
            <w:tcW w:type="dxa" w:w="3500"/>
            <w:tcBorders>
              <w:top w:val="single" w:color="CCCCCC" w:sz="1"/>
              <w:left w:val="single" w:color="CCCCCC" w:sz="1"/>
              <w:bottom w:val="single" w:color="CCCCCC" w:sz="1"/>
              <w:right w:val="single" w:color="CCCCCC" w:sz="1"/>
            </w:tcBorders>
            <w:shd w:fill="1a365d" w:val="clear"/>
          </w:tcPr>
          <w:p>
            <w:pPr>
              <w:jc w:val="center"/>
            </w:pPr>
            <w:r>
              <w:rPr>
                <w:b/>
                <w:bCs/>
                <w:color w:val="FFFFFF"/>
              </w:rPr>
              <w:t xml:space="preserve">Daily XRP Volume</w:t>
            </w:r>
          </w:p>
        </w:tc>
        <w:tc>
          <w:tcPr>
            <w:tcW w:type="dxa" w:w="2000"/>
            <w:tcBorders>
              <w:top w:val="single" w:color="CCCCCC" w:sz="1"/>
              <w:left w:val="single" w:color="CCCCCC" w:sz="1"/>
              <w:bottom w:val="single" w:color="CCCCCC" w:sz="1"/>
              <w:right w:val="single" w:color="CCCCCC" w:sz="1"/>
            </w:tcBorders>
            <w:shd w:fill="1a365d" w:val="clear"/>
          </w:tcPr>
          <w:p>
            <w:pPr>
              <w:jc w:val="center"/>
            </w:pPr>
            <w:r>
              <w:rPr>
                <w:b/>
                <w:bCs/>
                <w:color w:val="FFFFFF"/>
              </w:rPr>
              <w:t xml:space="preserve">L_score</w:t>
            </w:r>
          </w:p>
        </w:tc>
        <w:tc>
          <w:tcPr>
            <w:tcW w:type="dxa" w:w="3860"/>
            <w:tcBorders>
              <w:top w:val="single" w:color="CCCCCC" w:sz="1"/>
              <w:left w:val="single" w:color="CCCCCC" w:sz="1"/>
              <w:bottom w:val="single" w:color="CCCCCC" w:sz="1"/>
              <w:right w:val="single" w:color="CCCCCC" w:sz="1"/>
            </w:tcBorders>
            <w:shd w:fill="1a365d" w:val="clear"/>
          </w:tcPr>
          <w:p>
            <w:pPr>
              <w:jc w:val="center"/>
            </w:pPr>
            <w:r>
              <w:rPr>
                <w:b/>
                <w:bCs/>
                <w:color w:val="FFFFFF"/>
              </w:rPr>
              <w:t xml:space="preserve">Assessment</w:t>
            </w:r>
          </w:p>
        </w:tc>
      </w:tr>
      <w:tr>
        <w:tc>
          <w:tcPr>
            <w:tcW w:type="dxa" w:w="3500"/>
            <w:tcBorders>
              <w:top w:val="single" w:color="CCCCCC" w:sz="1"/>
              <w:left w:val="single" w:color="CCCCCC" w:sz="1"/>
              <w:bottom w:val="single" w:color="CCCCCC" w:sz="1"/>
              <w:right w:val="single" w:color="CCCCCC" w:sz="1"/>
            </w:tcBorders>
          </w:tcPr>
          <w:p>
            <w:r>
              <w:t xml:space="preserve">&gt;$50M both sides</w:t>
            </w:r>
          </w:p>
        </w:tc>
        <w:tc>
          <w:tcPr>
            <w:tcW w:type="dxa" w:w="2000"/>
            <w:tcBorders>
              <w:top w:val="single" w:color="CCCCCC" w:sz="1"/>
              <w:left w:val="single" w:color="CCCCCC" w:sz="1"/>
              <w:bottom w:val="single" w:color="CCCCCC" w:sz="1"/>
              <w:right w:val="single" w:color="CCCCCC" w:sz="1"/>
            </w:tcBorders>
          </w:tcPr>
          <w:p>
            <w:pPr>
              <w:jc w:val="center"/>
            </w:pPr>
            <w:r>
              <w:t xml:space="preserve">1.0</w:t>
            </w:r>
          </w:p>
        </w:tc>
        <w:tc>
          <w:tcPr>
            <w:tcW w:type="dxa" w:w="3860"/>
            <w:tcBorders>
              <w:top w:val="single" w:color="CCCCCC" w:sz="1"/>
              <w:left w:val="single" w:color="CCCCCC" w:sz="1"/>
              <w:bottom w:val="single" w:color="CCCCCC" w:sz="1"/>
              <w:right w:val="single" w:color="CCCCCC" w:sz="1"/>
            </w:tcBorders>
          </w:tcPr>
          <w:p>
            <w:r>
              <w:t xml:space="preserve">Excellent - minimal slippage</w:t>
            </w:r>
          </w:p>
        </w:tc>
      </w:tr>
      <w:tr>
        <w:tc>
          <w:tcPr>
            <w:tcW w:type="dxa" w:w="3500"/>
            <w:tcBorders>
              <w:top w:val="single" w:color="CCCCCC" w:sz="1"/>
              <w:left w:val="single" w:color="CCCCCC" w:sz="1"/>
              <w:bottom w:val="single" w:color="CCCCCC" w:sz="1"/>
              <w:right w:val="single" w:color="CCCCCC" w:sz="1"/>
            </w:tcBorders>
            <w:shd w:fill="f8fafc" w:val="clear"/>
          </w:tcPr>
          <w:p>
            <w:r>
              <w:t xml:space="preserve">$10-50M both sides</w:t>
            </w:r>
          </w:p>
        </w:tc>
        <w:tc>
          <w:tcPr>
            <w:tcW w:type="dxa" w:w="2000"/>
            <w:tcBorders>
              <w:top w:val="single" w:color="CCCCCC" w:sz="1"/>
              <w:left w:val="single" w:color="CCCCCC" w:sz="1"/>
              <w:bottom w:val="single" w:color="CCCCCC" w:sz="1"/>
              <w:right w:val="single" w:color="CCCCCC" w:sz="1"/>
            </w:tcBorders>
            <w:shd w:fill="f8fafc" w:val="clear"/>
          </w:tcPr>
          <w:p>
            <w:pPr>
              <w:jc w:val="center"/>
            </w:pPr>
            <w:r>
              <w:t xml:space="preserve">0.8</w:t>
            </w:r>
          </w:p>
        </w:tc>
        <w:tc>
          <w:tcPr>
            <w:tcW w:type="dxa" w:w="3860"/>
            <w:tcBorders>
              <w:top w:val="single" w:color="CCCCCC" w:sz="1"/>
              <w:left w:val="single" w:color="CCCCCC" w:sz="1"/>
              <w:bottom w:val="single" w:color="CCCCCC" w:sz="1"/>
              <w:right w:val="single" w:color="CCCCCC" w:sz="1"/>
            </w:tcBorders>
            <w:shd w:fill="f8fafc" w:val="clear"/>
          </w:tcPr>
          <w:p>
            <w:r>
              <w:t xml:space="preserve">Good - manageable for most sizes</w:t>
            </w:r>
          </w:p>
        </w:tc>
      </w:tr>
      <w:tr>
        <w:tc>
          <w:tcPr>
            <w:tcW w:type="dxa" w:w="3500"/>
            <w:tcBorders>
              <w:top w:val="single" w:color="CCCCCC" w:sz="1"/>
              <w:left w:val="single" w:color="CCCCCC" w:sz="1"/>
              <w:bottom w:val="single" w:color="CCCCCC" w:sz="1"/>
              <w:right w:val="single" w:color="CCCCCC" w:sz="1"/>
            </w:tcBorders>
          </w:tcPr>
          <w:p>
            <w:r>
              <w:t xml:space="preserve">$5-10M both sides</w:t>
            </w:r>
          </w:p>
        </w:tc>
        <w:tc>
          <w:tcPr>
            <w:tcW w:type="dxa" w:w="2000"/>
            <w:tcBorders>
              <w:top w:val="single" w:color="CCCCCC" w:sz="1"/>
              <w:left w:val="single" w:color="CCCCCC" w:sz="1"/>
              <w:bottom w:val="single" w:color="CCCCCC" w:sz="1"/>
              <w:right w:val="single" w:color="CCCCCC" w:sz="1"/>
            </w:tcBorders>
          </w:tcPr>
          <w:p>
            <w:pPr>
              <w:jc w:val="center"/>
            </w:pPr>
            <w:r>
              <w:t xml:space="preserve">0.6</w:t>
            </w:r>
          </w:p>
        </w:tc>
        <w:tc>
          <w:tcPr>
            <w:tcW w:type="dxa" w:w="3860"/>
            <w:tcBorders>
              <w:top w:val="single" w:color="CCCCCC" w:sz="1"/>
              <w:left w:val="single" w:color="CCCCCC" w:sz="1"/>
              <w:bottom w:val="single" w:color="CCCCCC" w:sz="1"/>
              <w:right w:val="single" w:color="CCCCCC" w:sz="1"/>
            </w:tcBorders>
          </w:tcPr>
          <w:p>
            <w:r>
              <w:t xml:space="preserve">Moderate - retail only</w:t>
            </w:r>
          </w:p>
        </w:tc>
      </w:tr>
      <w:tr>
        <w:tc>
          <w:tcPr>
            <w:tcW w:type="dxa" w:w="3500"/>
            <w:tcBorders>
              <w:top w:val="single" w:color="CCCCCC" w:sz="1"/>
              <w:left w:val="single" w:color="CCCCCC" w:sz="1"/>
              <w:bottom w:val="single" w:color="CCCCCC" w:sz="1"/>
              <w:right w:val="single" w:color="CCCCCC" w:sz="1"/>
            </w:tcBorders>
            <w:shd w:fill="f8fafc" w:val="clear"/>
          </w:tcPr>
          <w:p>
            <w:r>
              <w:t xml:space="preserve">$1-5M both sides</w:t>
            </w:r>
          </w:p>
        </w:tc>
        <w:tc>
          <w:tcPr>
            <w:tcW w:type="dxa" w:w="2000"/>
            <w:tcBorders>
              <w:top w:val="single" w:color="CCCCCC" w:sz="1"/>
              <w:left w:val="single" w:color="CCCCCC" w:sz="1"/>
              <w:bottom w:val="single" w:color="CCCCCC" w:sz="1"/>
              <w:right w:val="single" w:color="CCCCCC" w:sz="1"/>
            </w:tcBorders>
            <w:shd w:fill="f8fafc" w:val="clear"/>
          </w:tcPr>
          <w:p>
            <w:pPr>
              <w:jc w:val="center"/>
            </w:pPr>
            <w:r>
              <w:t xml:space="preserve">0.3</w:t>
            </w:r>
          </w:p>
        </w:tc>
        <w:tc>
          <w:tcPr>
            <w:tcW w:type="dxa" w:w="3860"/>
            <w:tcBorders>
              <w:top w:val="single" w:color="CCCCCC" w:sz="1"/>
              <w:left w:val="single" w:color="CCCCCC" w:sz="1"/>
              <w:bottom w:val="single" w:color="CCCCCC" w:sz="1"/>
              <w:right w:val="single" w:color="CCCCCC" w:sz="1"/>
            </w:tcBorders>
            <w:shd w:fill="f8fafc" w:val="clear"/>
          </w:tcPr>
          <w:p>
            <w:r>
              <w:t xml:space="preserve">Poor - significant slippage risk</w:t>
            </w:r>
          </w:p>
        </w:tc>
      </w:tr>
      <w:tr>
        <w:tc>
          <w:tcPr>
            <w:tcW w:type="dxa" w:w="3500"/>
            <w:tcBorders>
              <w:top w:val="single" w:color="CCCCCC" w:sz="1"/>
              <w:left w:val="single" w:color="CCCCCC" w:sz="1"/>
              <w:bottom w:val="single" w:color="CCCCCC" w:sz="1"/>
              <w:right w:val="single" w:color="CCCCCC" w:sz="1"/>
            </w:tcBorders>
          </w:tcPr>
          <w:p>
            <w:r>
              <w:t xml:space="preserve">&lt;$1M either side</w:t>
            </w:r>
          </w:p>
        </w:tc>
        <w:tc>
          <w:tcPr>
            <w:tcW w:type="dxa" w:w="2000"/>
            <w:tcBorders>
              <w:top w:val="single" w:color="CCCCCC" w:sz="1"/>
              <w:left w:val="single" w:color="CCCCCC" w:sz="1"/>
              <w:bottom w:val="single" w:color="CCCCCC" w:sz="1"/>
              <w:right w:val="single" w:color="CCCCCC" w:sz="1"/>
            </w:tcBorders>
          </w:tcPr>
          <w:p>
            <w:pPr>
              <w:jc w:val="center"/>
            </w:pPr>
            <w:r>
              <w:t xml:space="preserve">0.0</w:t>
            </w:r>
          </w:p>
        </w:tc>
        <w:tc>
          <w:tcPr>
            <w:tcW w:type="dxa" w:w="3860"/>
            <w:tcBorders>
              <w:top w:val="single" w:color="CCCCCC" w:sz="1"/>
              <w:left w:val="single" w:color="CCCCCC" w:sz="1"/>
              <w:bottom w:val="single" w:color="CCCCCC" w:sz="1"/>
              <w:right w:val="single" w:color="CCCCCC" w:sz="1"/>
            </w:tcBorders>
          </w:tcPr>
          <w:p>
            <w:r>
              <w:t xml:space="preserve">Non-viable - economics don't work</w:t>
            </w:r>
          </w:p>
        </w:tc>
      </w:tr>
    </w:tbl>
    <w:p>
      <w:pPr>
        <w:pStyle w:val="Heading3"/>
        <w:spacing w:before="200" w:after="100"/>
      </w:pPr>
      <w:r>
        <w:rPr>
          <w:b/>
          <w:bCs/>
        </w:rPr>
        <w:t xml:space="preserve">Regulatory Risk Factor (R_reg)</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4500"/>
        <w:gridCol w:w="1500"/>
        <w:gridCol w:w="3360"/>
      </w:tblGrid>
      <w:tr>
        <w:trPr>
          <w:tblHeader/>
        </w:trPr>
        <w:tc>
          <w:tcPr>
            <w:tcW w:type="dxa" w:w="4500"/>
            <w:tcBorders>
              <w:top w:val="single" w:color="CCCCCC" w:sz="1"/>
              <w:left w:val="single" w:color="CCCCCC" w:sz="1"/>
              <w:bottom w:val="single" w:color="CCCCCC" w:sz="1"/>
              <w:right w:val="single" w:color="CCCCCC" w:sz="1"/>
            </w:tcBorders>
            <w:shd w:fill="1a365d" w:val="clear"/>
          </w:tcPr>
          <w:p>
            <w:pPr>
              <w:jc w:val="center"/>
            </w:pPr>
            <w:r>
              <w:rPr>
                <w:b/>
                <w:bCs/>
                <w:color w:val="FFFFFF"/>
              </w:rPr>
              <w:t xml:space="preserve">Regulatory Environment</w:t>
            </w:r>
          </w:p>
        </w:tc>
        <w:tc>
          <w:tcPr>
            <w:tcW w:type="dxa" w:w="1500"/>
            <w:tcBorders>
              <w:top w:val="single" w:color="CCCCCC" w:sz="1"/>
              <w:left w:val="single" w:color="CCCCCC" w:sz="1"/>
              <w:bottom w:val="single" w:color="CCCCCC" w:sz="1"/>
              <w:right w:val="single" w:color="CCCCCC" w:sz="1"/>
            </w:tcBorders>
            <w:shd w:fill="1a365d" w:val="clear"/>
          </w:tcPr>
          <w:p>
            <w:pPr>
              <w:jc w:val="center"/>
            </w:pPr>
            <w:r>
              <w:rPr>
                <w:b/>
                <w:bCs/>
                <w:color w:val="FFFFFF"/>
              </w:rPr>
              <w:t xml:space="preserve">R_reg</w:t>
            </w:r>
          </w:p>
        </w:tc>
        <w:tc>
          <w:tcPr>
            <w:tcW w:type="dxa" w:w="3360"/>
            <w:tcBorders>
              <w:top w:val="single" w:color="CCCCCC" w:sz="1"/>
              <w:left w:val="single" w:color="CCCCCC" w:sz="1"/>
              <w:bottom w:val="single" w:color="CCCCCC" w:sz="1"/>
              <w:right w:val="single" w:color="CCCCCC" w:sz="1"/>
            </w:tcBorders>
            <w:shd w:fill="1a365d" w:val="clear"/>
          </w:tcPr>
          <w:p>
            <w:pPr>
              <w:jc w:val="center"/>
            </w:pPr>
            <w:r>
              <w:rPr>
                <w:b/>
                <w:bCs/>
                <w:color w:val="FFFFFF"/>
              </w:rPr>
              <w:t xml:space="preserve">Examples</w:t>
            </w:r>
          </w:p>
        </w:tc>
      </w:tr>
      <w:tr>
        <w:tc>
          <w:tcPr>
            <w:tcW w:type="dxa" w:w="4500"/>
            <w:tcBorders>
              <w:top w:val="single" w:color="CCCCCC" w:sz="1"/>
              <w:left w:val="single" w:color="CCCCCC" w:sz="1"/>
              <w:bottom w:val="single" w:color="CCCCCC" w:sz="1"/>
              <w:right w:val="single" w:color="CCCCCC" w:sz="1"/>
            </w:tcBorders>
          </w:tcPr>
          <w:p>
            <w:r>
              <w:t xml:space="preserve">Crypto-friendly, clear guidelines</w:t>
            </w:r>
          </w:p>
        </w:tc>
        <w:tc>
          <w:tcPr>
            <w:tcW w:type="dxa" w:w="1500"/>
            <w:tcBorders>
              <w:top w:val="single" w:color="CCCCCC" w:sz="1"/>
              <w:left w:val="single" w:color="CCCCCC" w:sz="1"/>
              <w:bottom w:val="single" w:color="CCCCCC" w:sz="1"/>
              <w:right w:val="single" w:color="CCCCCC" w:sz="1"/>
            </w:tcBorders>
          </w:tcPr>
          <w:p>
            <w:pPr>
              <w:jc w:val="center"/>
            </w:pPr>
            <w:r>
              <w:t xml:space="preserve">0.1</w:t>
            </w:r>
          </w:p>
        </w:tc>
        <w:tc>
          <w:tcPr>
            <w:tcW w:type="dxa" w:w="3360"/>
            <w:tcBorders>
              <w:top w:val="single" w:color="CCCCCC" w:sz="1"/>
              <w:left w:val="single" w:color="CCCCCC" w:sz="1"/>
              <w:bottom w:val="single" w:color="CCCCCC" w:sz="1"/>
              <w:right w:val="single" w:color="CCCCCC" w:sz="1"/>
            </w:tcBorders>
          </w:tcPr>
          <w:p>
            <w:r>
              <w:t xml:space="preserve">Singapore, Japan, UAE</w:t>
            </w:r>
          </w:p>
        </w:tc>
      </w:tr>
      <w:tr>
        <w:tc>
          <w:tcPr>
            <w:tcW w:type="dxa" w:w="4500"/>
            <w:tcBorders>
              <w:top w:val="single" w:color="CCCCCC" w:sz="1"/>
              <w:left w:val="single" w:color="CCCCCC" w:sz="1"/>
              <w:bottom w:val="single" w:color="CCCCCC" w:sz="1"/>
              <w:right w:val="single" w:color="CCCCCC" w:sz="1"/>
            </w:tcBorders>
            <w:shd w:fill="f8fafc" w:val="clear"/>
          </w:tcPr>
          <w:p>
            <w:r>
              <w:t xml:space="preserve">Evolving regulation, generally permissive</w:t>
            </w:r>
          </w:p>
        </w:tc>
        <w:tc>
          <w:tcPr>
            <w:tcW w:type="dxa" w:w="1500"/>
            <w:tcBorders>
              <w:top w:val="single" w:color="CCCCCC" w:sz="1"/>
              <w:left w:val="single" w:color="CCCCCC" w:sz="1"/>
              <w:bottom w:val="single" w:color="CCCCCC" w:sz="1"/>
              <w:right w:val="single" w:color="CCCCCC" w:sz="1"/>
            </w:tcBorders>
            <w:shd w:fill="f8fafc" w:val="clear"/>
          </w:tcPr>
          <w:p>
            <w:pPr>
              <w:jc w:val="center"/>
            </w:pPr>
            <w:r>
              <w:t xml:space="preserve">0.3</w:t>
            </w:r>
          </w:p>
        </w:tc>
        <w:tc>
          <w:tcPr>
            <w:tcW w:type="dxa" w:w="3360"/>
            <w:tcBorders>
              <w:top w:val="single" w:color="CCCCCC" w:sz="1"/>
              <w:left w:val="single" w:color="CCCCCC" w:sz="1"/>
              <w:bottom w:val="single" w:color="CCCCCC" w:sz="1"/>
              <w:right w:val="single" w:color="CCCCCC" w:sz="1"/>
            </w:tcBorders>
            <w:shd w:fill="f8fafc" w:val="clear"/>
          </w:tcPr>
          <w:p>
            <w:r>
              <w:t xml:space="preserve">US (post-clarity), EU (MiCA)</w:t>
            </w:r>
          </w:p>
        </w:tc>
      </w:tr>
      <w:tr>
        <w:tc>
          <w:tcPr>
            <w:tcW w:type="dxa" w:w="4500"/>
            <w:tcBorders>
              <w:top w:val="single" w:color="CCCCCC" w:sz="1"/>
              <w:left w:val="single" w:color="CCCCCC" w:sz="1"/>
              <w:bottom w:val="single" w:color="CCCCCC" w:sz="1"/>
              <w:right w:val="single" w:color="CCCCCC" w:sz="1"/>
            </w:tcBorders>
          </w:tcPr>
          <w:p>
            <w:r>
              <w:t xml:space="preserve">Unclear or restrictive</w:t>
            </w:r>
          </w:p>
        </w:tc>
        <w:tc>
          <w:tcPr>
            <w:tcW w:type="dxa" w:w="1500"/>
            <w:tcBorders>
              <w:top w:val="single" w:color="CCCCCC" w:sz="1"/>
              <w:left w:val="single" w:color="CCCCCC" w:sz="1"/>
              <w:bottom w:val="single" w:color="CCCCCC" w:sz="1"/>
              <w:right w:val="single" w:color="CCCCCC" w:sz="1"/>
            </w:tcBorders>
          </w:tcPr>
          <w:p>
            <w:pPr>
              <w:jc w:val="center"/>
            </w:pPr>
            <w:r>
              <w:t xml:space="preserve">0.6</w:t>
            </w:r>
          </w:p>
        </w:tc>
        <w:tc>
          <w:tcPr>
            <w:tcW w:type="dxa" w:w="3360"/>
            <w:tcBorders>
              <w:top w:val="single" w:color="CCCCCC" w:sz="1"/>
              <w:left w:val="single" w:color="CCCCCC" w:sz="1"/>
              <w:bottom w:val="single" w:color="CCCCCC" w:sz="1"/>
              <w:right w:val="single" w:color="CCCCCC" w:sz="1"/>
            </w:tcBorders>
          </w:tcPr>
          <w:p>
            <w:r>
              <w:t xml:space="preserve">India, Indonesia</w:t>
            </w:r>
          </w:p>
        </w:tc>
      </w:tr>
      <w:tr>
        <w:tc>
          <w:tcPr>
            <w:tcW w:type="dxa" w:w="4500"/>
            <w:tcBorders>
              <w:top w:val="single" w:color="CCCCCC" w:sz="1"/>
              <w:left w:val="single" w:color="CCCCCC" w:sz="1"/>
              <w:bottom w:val="single" w:color="CCCCCC" w:sz="1"/>
              <w:right w:val="single" w:color="CCCCCC" w:sz="1"/>
            </w:tcBorders>
            <w:shd w:fill="f8fafc" w:val="clear"/>
          </w:tcPr>
          <w:p>
            <w:r>
              <w:t xml:space="preserve">Hostile or banned</w:t>
            </w:r>
          </w:p>
        </w:tc>
        <w:tc>
          <w:tcPr>
            <w:tcW w:type="dxa" w:w="1500"/>
            <w:tcBorders>
              <w:top w:val="single" w:color="CCCCCC" w:sz="1"/>
              <w:left w:val="single" w:color="CCCCCC" w:sz="1"/>
              <w:bottom w:val="single" w:color="CCCCCC" w:sz="1"/>
              <w:right w:val="single" w:color="CCCCCC" w:sz="1"/>
            </w:tcBorders>
            <w:shd w:fill="f8fafc" w:val="clear"/>
          </w:tcPr>
          <w:p>
            <w:pPr>
              <w:jc w:val="center"/>
            </w:pPr>
            <w:r>
              <w:t xml:space="preserve">0.9</w:t>
            </w:r>
          </w:p>
        </w:tc>
        <w:tc>
          <w:tcPr>
            <w:tcW w:type="dxa" w:w="3360"/>
            <w:tcBorders>
              <w:top w:val="single" w:color="CCCCCC" w:sz="1"/>
              <w:left w:val="single" w:color="CCCCCC" w:sz="1"/>
              <w:bottom w:val="single" w:color="CCCCCC" w:sz="1"/>
              <w:right w:val="single" w:color="CCCCCC" w:sz="1"/>
            </w:tcBorders>
            <w:shd w:fill="f8fafc" w:val="clear"/>
          </w:tcPr>
          <w:p>
            <w:r>
              <w:t xml:space="preserve">China (mainland)</w:t>
            </w:r>
          </w:p>
        </w:tc>
      </w:tr>
    </w:tbl>
    <w:p>
      <w:pPr>
        <w:pStyle w:val="Heading2"/>
        <w:spacing w:before="300" w:after="150"/>
      </w:pPr>
      <w:r>
        <w:rPr>
          <w:b/>
          <w:bCs/>
        </w:rPr>
        <w:t xml:space="preserve">4.3 Corridor Tier Classification</w:t>
      </w:r>
    </w:p>
    <w:p>
      <w:pPr>
        <w:spacing w:after="120"/>
      </w:pPr>
      <w:r>
        <w:t xml:space="preserve">Based on viability scores, we classify corridors into tiers:</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500"/>
        <w:gridCol w:w="3000"/>
        <w:gridCol w:w="4860"/>
      </w:tblGrid>
      <w:tr>
        <w:trPr>
          <w:tblHeader/>
        </w:trPr>
        <w:tc>
          <w:tcPr>
            <w:tcW w:type="dxa" w:w="1500"/>
            <w:tcBorders>
              <w:top w:val="single" w:color="CCCCCC" w:sz="1"/>
              <w:left w:val="single" w:color="CCCCCC" w:sz="1"/>
              <w:bottom w:val="single" w:color="CCCCCC" w:sz="1"/>
              <w:right w:val="single" w:color="CCCCCC" w:sz="1"/>
            </w:tcBorders>
            <w:shd w:fill="1a365d" w:val="clear"/>
          </w:tcPr>
          <w:p>
            <w:pPr>
              <w:jc w:val="center"/>
            </w:pPr>
            <w:r>
              <w:rPr>
                <w:b/>
                <w:bCs/>
                <w:color w:val="FFFFFF"/>
              </w:rPr>
              <w:t xml:space="preserve">Tier</w:t>
            </w:r>
          </w:p>
        </w:tc>
        <w:tc>
          <w:tcPr>
            <w:tcW w:type="dxa" w:w="3000"/>
            <w:tcBorders>
              <w:top w:val="single" w:color="CCCCCC" w:sz="1"/>
              <w:left w:val="single" w:color="CCCCCC" w:sz="1"/>
              <w:bottom w:val="single" w:color="CCCCCC" w:sz="1"/>
              <w:right w:val="single" w:color="CCCCCC" w:sz="1"/>
            </w:tcBorders>
            <w:shd w:fill="1a365d" w:val="clear"/>
          </w:tcPr>
          <w:p>
            <w:pPr>
              <w:jc w:val="center"/>
            </w:pPr>
            <w:r>
              <w:rPr>
                <w:b/>
                <w:bCs/>
                <w:color w:val="FFFFFF"/>
              </w:rPr>
              <w:t xml:space="preserve">ODL Advantage</w:t>
            </w:r>
          </w:p>
        </w:tc>
        <w:tc>
          <w:tcPr>
            <w:tcW w:type="dxa" w:w="4860"/>
            <w:tcBorders>
              <w:top w:val="single" w:color="CCCCCC" w:sz="1"/>
              <w:left w:val="single" w:color="CCCCCC" w:sz="1"/>
              <w:bottom w:val="single" w:color="CCCCCC" w:sz="1"/>
              <w:right w:val="single" w:color="CCCCCC" w:sz="1"/>
            </w:tcBorders>
            <w:shd w:fill="1a365d" w:val="clear"/>
          </w:tcPr>
          <w:p>
            <w:pPr>
              <w:jc w:val="center"/>
            </w:pPr>
            <w:r>
              <w:rPr>
                <w:b/>
                <w:bCs/>
                <w:color w:val="FFFFFF"/>
              </w:rPr>
              <w:t xml:space="preserve">Characteristics</w:t>
            </w:r>
          </w:p>
        </w:tc>
      </w:tr>
      <w:tr>
        <w:tc>
          <w:tcPr>
            <w:tcW w:type="dxa" w:w="1500"/>
            <w:tcBorders>
              <w:top w:val="single" w:color="CCCCCC" w:sz="1"/>
              <w:left w:val="single" w:color="CCCCCC" w:sz="1"/>
              <w:bottom w:val="single" w:color="CCCCCC" w:sz="1"/>
              <w:right w:val="single" w:color="CCCCCC" w:sz="1"/>
            </w:tcBorders>
            <w:shd w:fill="c6f6d5" w:val="clear"/>
          </w:tcPr>
          <w:p>
            <w:pPr>
              <w:jc w:val="center"/>
            </w:pPr>
            <w:r>
              <w:rPr>
                <w:b/>
                <w:bCs/>
              </w:rPr>
              <w:t xml:space="preserve">Tier 1</w:t>
            </w:r>
          </w:p>
        </w:tc>
        <w:tc>
          <w:tcPr>
            <w:tcW w:type="dxa" w:w="3000"/>
            <w:tcBorders>
              <w:top w:val="single" w:color="CCCCCC" w:sz="1"/>
              <w:left w:val="single" w:color="CCCCCC" w:sz="1"/>
              <w:bottom w:val="single" w:color="CCCCCC" w:sz="1"/>
              <w:right w:val="single" w:color="CCCCCC" w:sz="1"/>
            </w:tcBorders>
            <w:shd w:fill="c6f6d5" w:val="clear"/>
          </w:tcPr>
          <w:p>
            <w:pPr>
              <w:jc w:val="center"/>
            </w:pPr>
            <w:r>
              <w:t xml:space="preserve">&gt;3% cost advantage</w:t>
            </w:r>
          </w:p>
        </w:tc>
        <w:tc>
          <w:tcPr>
            <w:tcW w:type="dxa" w:w="4860"/>
            <w:tcBorders>
              <w:top w:val="single" w:color="CCCCCC" w:sz="1"/>
              <w:left w:val="single" w:color="CCCCCC" w:sz="1"/>
              <w:bottom w:val="single" w:color="CCCCCC" w:sz="1"/>
              <w:right w:val="single" w:color="CCCCCC" w:sz="1"/>
            </w:tcBorders>
            <w:shd w:fill="c6f6d5" w:val="clear"/>
          </w:tcPr>
          <w:p>
            <w:r>
              <w:t xml:space="preserve">High trad. cost, deep liquidity, friendly reg</w:t>
            </w:r>
          </w:p>
        </w:tc>
      </w:tr>
      <w:tr>
        <w:tc>
          <w:tcPr>
            <w:tcW w:type="dxa" w:w="1500"/>
            <w:tcBorders>
              <w:top w:val="single" w:color="CCCCCC" w:sz="1"/>
              <w:left w:val="single" w:color="CCCCCC" w:sz="1"/>
              <w:bottom w:val="single" w:color="CCCCCC" w:sz="1"/>
              <w:right w:val="single" w:color="CCCCCC" w:sz="1"/>
            </w:tcBorders>
            <w:shd w:fill="fefcbf" w:val="clear"/>
          </w:tcPr>
          <w:p>
            <w:pPr>
              <w:jc w:val="center"/>
            </w:pPr>
            <w:r>
              <w:rPr>
                <w:b/>
                <w:bCs/>
              </w:rPr>
              <w:t xml:space="preserve">Tier 2</w:t>
            </w:r>
          </w:p>
        </w:tc>
        <w:tc>
          <w:tcPr>
            <w:tcW w:type="dxa" w:w="3000"/>
            <w:tcBorders>
              <w:top w:val="single" w:color="CCCCCC" w:sz="1"/>
              <w:left w:val="single" w:color="CCCCCC" w:sz="1"/>
              <w:bottom w:val="single" w:color="CCCCCC" w:sz="1"/>
              <w:right w:val="single" w:color="CCCCCC" w:sz="1"/>
            </w:tcBorders>
            <w:shd w:fill="fefcbf" w:val="clear"/>
          </w:tcPr>
          <w:p>
            <w:pPr>
              <w:jc w:val="center"/>
            </w:pPr>
            <w:r>
              <w:t xml:space="preserve">1-3% cost advantage</w:t>
            </w:r>
          </w:p>
        </w:tc>
        <w:tc>
          <w:tcPr>
            <w:tcW w:type="dxa" w:w="4860"/>
            <w:tcBorders>
              <w:top w:val="single" w:color="CCCCCC" w:sz="1"/>
              <w:left w:val="single" w:color="CCCCCC" w:sz="1"/>
              <w:bottom w:val="single" w:color="CCCCCC" w:sz="1"/>
              <w:right w:val="single" w:color="CCCCCC" w:sz="1"/>
            </w:tcBorders>
            <w:shd w:fill="fefcbf" w:val="clear"/>
          </w:tcPr>
          <w:p>
            <w:r>
              <w:t xml:space="preserve">Moderate cost/liquidity, viable at scale</w:t>
            </w:r>
          </w:p>
        </w:tc>
      </w:tr>
      <w:tr>
        <w:tc>
          <w:tcPr>
            <w:tcW w:type="dxa" w:w="1500"/>
            <w:tcBorders>
              <w:top w:val="single" w:color="CCCCCC" w:sz="1"/>
              <w:left w:val="single" w:color="CCCCCC" w:sz="1"/>
              <w:bottom w:val="single" w:color="CCCCCC" w:sz="1"/>
              <w:right w:val="single" w:color="CCCCCC" w:sz="1"/>
            </w:tcBorders>
            <w:shd w:fill="fed7d7" w:val="clear"/>
          </w:tcPr>
          <w:p>
            <w:pPr>
              <w:jc w:val="center"/>
            </w:pPr>
            <w:r>
              <w:rPr>
                <w:b/>
                <w:bCs/>
              </w:rPr>
              <w:t xml:space="preserve">Tier 3</w:t>
            </w:r>
          </w:p>
        </w:tc>
        <w:tc>
          <w:tcPr>
            <w:tcW w:type="dxa" w:w="3000"/>
            <w:tcBorders>
              <w:top w:val="single" w:color="CCCCCC" w:sz="1"/>
              <w:left w:val="single" w:color="CCCCCC" w:sz="1"/>
              <w:bottom w:val="single" w:color="CCCCCC" w:sz="1"/>
              <w:right w:val="single" w:color="CCCCCC" w:sz="1"/>
            </w:tcBorders>
            <w:shd w:fill="fed7d7" w:val="clear"/>
          </w:tcPr>
          <w:p>
            <w:pPr>
              <w:jc w:val="center"/>
            </w:pPr>
            <w:r>
              <w:t xml:space="preserve">&lt;1% or negative</w:t>
            </w:r>
          </w:p>
        </w:tc>
        <w:tc>
          <w:tcPr>
            <w:tcW w:type="dxa" w:w="4860"/>
            <w:tcBorders>
              <w:top w:val="single" w:color="CCCCCC" w:sz="1"/>
              <w:left w:val="single" w:color="CCCCCC" w:sz="1"/>
              <w:bottom w:val="single" w:color="CCCCCC" w:sz="1"/>
              <w:right w:val="single" w:color="CCCCCC" w:sz="1"/>
            </w:tcBorders>
            <w:shd w:fill="fed7d7" w:val="clear"/>
          </w:tcPr>
          <w:p>
            <w:r>
              <w:t xml:space="preserve">Low trad. cost OR thin liquidity OR hostile reg</w:t>
            </w:r>
          </w:p>
        </w:tc>
      </w:tr>
    </w:tbl>
    <w:p>
      <w:r>
        <w:br w:type="page"/>
      </w:r>
    </w:p>
    <w:p>
      <w:pPr>
        <w:pStyle w:val="Heading1"/>
        <w:spacing w:before="400" w:after="200"/>
      </w:pPr>
      <w:r>
        <w:rPr>
          <w:b/>
          <w:bCs/>
        </w:rPr>
        <w:t xml:space="preserve">5. Competitive Analysis: ODL vs. Alternatives</w:t>
      </w:r>
    </w:p>
    <w:p>
      <w:pPr>
        <w:pStyle w:val="Heading2"/>
        <w:spacing w:before="300" w:after="150"/>
      </w:pPr>
      <w:r>
        <w:rPr>
          <w:b/>
          <w:bCs/>
        </w:rPr>
        <w:t xml:space="preserve">5.1 Stablecoins: The Rising Competitor</w:t>
      </w:r>
    </w:p>
    <w:p>
      <w:pPr>
        <w:spacing w:after="120"/>
      </w:pPr>
      <w:r>
        <w:t xml:space="preserve">The most significant competitive threat to ODL comes from stablecoins, particularly USDC and USDT. In 2024, stablecoins processed an estimated $5.7 trillion in cross-border payments—orders of magnitude more than ODL's $15 billion.</w:t>
      </w:r>
    </w:p>
    <w:p>
      <w:pPr>
        <w:pStyle w:val="Heading3"/>
        <w:spacing w:before="200" w:after="100"/>
      </w:pPr>
      <w:r>
        <w:rPr>
          <w:b/>
          <w:bCs/>
        </w:rPr>
        <w:t xml:space="preserve">Stablecoin Advantages Over ODL</w:t>
      </w:r>
    </w:p>
    <w:p>
      <w:pPr>
        <w:pStyle w:val="ListParagraph"/>
        <w:numPr>
          <w:ilvl w:val="0"/>
          <w:numId w:val="7"/>
        </w:numPr>
      </w:pPr>
      <w:r>
        <w:rPr>
          <w:b/>
          <w:bCs/>
        </w:rPr>
        <w:t xml:space="preserve">No volatility risk: </w:t>
      </w:r>
      <w:r>
        <w:t xml:space="preserve">Price-stable by design, eliminating σ_volatility cost component</w:t>
      </w:r>
    </w:p>
    <w:p>
      <w:pPr>
        <w:pStyle w:val="ListParagraph"/>
        <w:numPr>
          <w:ilvl w:val="0"/>
          <w:numId w:val="7"/>
        </w:numPr>
      </w:pPr>
      <w:r>
        <w:rPr>
          <w:b/>
          <w:bCs/>
        </w:rPr>
        <w:t xml:space="preserve">Lower total cost: </w:t>
      </w:r>
      <w:r>
        <w:t xml:space="preserve">0.5-2% vs. ODL's 1-3.5% in comparable corridors</w:t>
      </w:r>
    </w:p>
    <w:p>
      <w:pPr>
        <w:pStyle w:val="ListParagraph"/>
        <w:numPr>
          <w:ilvl w:val="0"/>
          <w:numId w:val="7"/>
        </w:numPr>
      </w:pPr>
      <w:r>
        <w:rPr>
          <w:b/>
          <w:bCs/>
        </w:rPr>
        <w:t xml:space="preserve">Simpler integration: </w:t>
      </w:r>
      <w:r>
        <w:t xml:space="preserve">No real-time FX management required</w:t>
      </w:r>
    </w:p>
    <w:p>
      <w:pPr>
        <w:pStyle w:val="ListParagraph"/>
        <w:numPr>
          <w:ilvl w:val="0"/>
          <w:numId w:val="7"/>
        </w:numPr>
      </w:pPr>
      <w:r>
        <w:rPr>
          <w:b/>
          <w:bCs/>
        </w:rPr>
        <w:t xml:space="preserve">Deeper liquidity: </w:t>
      </w:r>
      <w:r>
        <w:t xml:space="preserve">$305 billion market cap vs. XRP's ~$100 billion</w:t>
      </w:r>
    </w:p>
    <w:p>
      <w:pPr>
        <w:pStyle w:val="ListParagraph"/>
        <w:numPr>
          <w:ilvl w:val="0"/>
          <w:numId w:val="7"/>
        </w:numPr>
      </w:pPr>
      <w:r>
        <w:rPr>
          <w:b/>
          <w:bCs/>
        </w:rPr>
        <w:t xml:space="preserve">Regulatory clarity: </w:t>
      </w:r>
      <w:r>
        <w:t xml:space="preserve">GENIUS Act (2025) provides clear US framework</w:t>
      </w:r>
    </w:p>
    <w:p>
      <w:pPr>
        <w:pStyle w:val="Heading3"/>
        <w:spacing w:before="200" w:after="100"/>
      </w:pPr>
      <w:r>
        <w:rPr>
          <w:b/>
          <w:bCs/>
        </w:rPr>
        <w:t xml:space="preserve">Where ODL Still Wins</w:t>
      </w:r>
    </w:p>
    <w:p>
      <w:pPr>
        <w:pStyle w:val="ListParagraph"/>
        <w:numPr>
          <w:ilvl w:val="0"/>
          <w:numId w:val="7"/>
        </w:numPr>
      </w:pPr>
      <w:r>
        <w:rPr>
          <w:b/>
          <w:bCs/>
        </w:rPr>
        <w:t xml:space="preserve">Non-USD corridors: </w:t>
      </w:r>
      <w:r>
        <w:t xml:space="preserve">Stablecoins are predominantly USD-based; XRP bridges any currency pair</w:t>
      </w:r>
    </w:p>
    <w:p>
      <w:pPr>
        <w:pStyle w:val="ListParagraph"/>
        <w:numPr>
          <w:ilvl w:val="0"/>
          <w:numId w:val="7"/>
        </w:numPr>
      </w:pPr>
      <w:r>
        <w:rPr>
          <w:b/>
          <w:bCs/>
        </w:rPr>
        <w:t xml:space="preserve">Exotic pairs: </w:t>
      </w:r>
      <w:r>
        <w:t xml:space="preserve">EUR→INR, JPY→PHP where stablecoin off-ramps are limited</w:t>
      </w:r>
    </w:p>
    <w:p>
      <w:pPr>
        <w:pStyle w:val="ListParagraph"/>
        <w:numPr>
          <w:ilvl w:val="0"/>
          <w:numId w:val="7"/>
        </w:numPr>
      </w:pPr>
      <w:r>
        <w:rPr>
          <w:b/>
          <w:bCs/>
        </w:rPr>
        <w:t xml:space="preserve">Dollar alternative positioning: </w:t>
      </w:r>
      <w:r>
        <w:t xml:space="preserve">Some corridors prefer non-USD rails for geopolitical reasons</w:t>
      </w:r>
    </w:p>
    <w:p>
      <w:pPr>
        <w:pStyle w:val="ListParagraph"/>
        <w:numPr>
          <w:ilvl w:val="0"/>
          <w:numId w:val="7"/>
        </w:numPr>
      </w:pPr>
      <w:r>
        <w:rPr>
          <w:b/>
          <w:bCs/>
        </w:rPr>
        <w:t xml:space="preserve">RippleNet integration: </w:t>
      </w:r>
      <w:r>
        <w:t xml:space="preserve">Existing RippleNet customers can upgrade to ODL seamlessly</w:t>
      </w:r>
    </w:p>
    <w:p>
      <w:pPr>
        <w:pStyle w:val="Heading2"/>
        <w:spacing w:before="300" w:after="150"/>
      </w:pPr>
      <w:r>
        <w:rPr>
          <w:b/>
          <w:bCs/>
        </w:rPr>
        <w:t xml:space="preserve">5.2 SWIFT gpi and Traditional Improvements</w:t>
      </w:r>
    </w:p>
    <w:p>
      <w:pPr>
        <w:spacing w:after="120"/>
      </w:pPr>
      <w:r>
        <w:t xml:space="preserve">SWIFT has not stood still. SWIFT gpi (global payments innovation) now achieves:</w:t>
      </w:r>
    </w:p>
    <w:p>
      <w:pPr>
        <w:pStyle w:val="ListParagraph"/>
        <w:numPr>
          <w:ilvl w:val="0"/>
          <w:numId w:val="7"/>
        </w:numPr>
      </w:pPr>
      <w:r>
        <w:t xml:space="preserve">90% of gpi transactions reach beneficiary bank within 1 hour</w:t>
      </w:r>
    </w:p>
    <w:p>
      <w:pPr>
        <w:pStyle w:val="ListParagraph"/>
        <w:numPr>
          <w:ilvl w:val="0"/>
          <w:numId w:val="7"/>
        </w:numPr>
      </w:pPr>
      <w:r>
        <w:t xml:space="preserve">End-to-end tracking and fee transparency</w:t>
      </w:r>
    </w:p>
    <w:p>
      <w:pPr>
        <w:pStyle w:val="ListParagraph"/>
        <w:numPr>
          <w:ilvl w:val="0"/>
          <w:numId w:val="7"/>
        </w:numPr>
      </w:pPr>
      <w:r>
        <w:t xml:space="preserve">Pre-validation to reduce failed transactions</w:t>
      </w:r>
    </w:p>
    <w:p>
      <w:pPr>
        <w:spacing w:after="120"/>
      </w:pPr>
      <w:r>
        <w:t xml:space="preserve">However, SWIFT gpi doesn't address the fundamental trapped capital problem—it makes correspondent banking faster, not more capital-efficient.</w:t>
      </w:r>
    </w:p>
    <w:p>
      <w:pPr>
        <w:pStyle w:val="Heading2"/>
        <w:spacing w:before="300" w:after="150"/>
      </w:pPr>
      <w:r>
        <w:rPr>
          <w:b/>
          <w:bCs/>
        </w:rPr>
        <w:t xml:space="preserve">5.3 The MoneyGram Case Study</w:t>
      </w:r>
    </w:p>
    <w:p>
      <w:pPr>
        <w:spacing w:after="120"/>
      </w:pPr>
      <w:r>
        <w:t xml:space="preserve">The MoneyGram partnership provides valuable data on ODL economics in practice:</w:t>
      </w:r>
    </w:p>
    <w:p>
      <w:pPr>
        <w:pStyle w:val="ListParagraph"/>
        <w:numPr>
          <w:ilvl w:val="0"/>
          <w:numId w:val="7"/>
        </w:numPr>
      </w:pPr>
      <w:r>
        <w:rPr>
          <w:b/>
          <w:bCs/>
        </w:rPr>
        <w:t xml:space="preserve">Partnership duration: </w:t>
      </w:r>
      <w:r>
        <w:t xml:space="preserve">2018-2021 (ended due to SEC lawsuit)</w:t>
      </w:r>
    </w:p>
    <w:p>
      <w:pPr>
        <w:pStyle w:val="ListParagraph"/>
        <w:numPr>
          <w:ilvl w:val="0"/>
          <w:numId w:val="7"/>
        </w:numPr>
      </w:pPr>
      <w:r>
        <w:rPr>
          <w:b/>
          <w:bCs/>
        </w:rPr>
        <w:t xml:space="preserve">Market development fees received: </w:t>
      </w:r>
      <w:r>
        <w:t xml:space="preserve">$61.5-62 million from Ripple</w:t>
      </w:r>
    </w:p>
    <w:p>
      <w:pPr>
        <w:pStyle w:val="ListParagraph"/>
        <w:numPr>
          <w:ilvl w:val="0"/>
          <w:numId w:val="7"/>
        </w:numPr>
      </w:pPr>
      <w:r>
        <w:rPr>
          <w:b/>
          <w:bCs/>
        </w:rPr>
        <w:t xml:space="preserve">Volume processed: </w:t>
      </w:r>
      <w:r>
        <w:t xml:space="preserve">"Billions of dollars" (unspecified)</w:t>
      </w:r>
    </w:p>
    <w:p>
      <w:pPr>
        <w:pStyle w:val="Heading3"/>
        <w:spacing w:before="200" w:after="100"/>
      </w:pPr>
      <w:r>
        <w:rPr>
          <w:b/>
          <w:bCs/>
        </w:rPr>
        <w:t xml:space="preserve">What MoneyGram Reveals</w:t>
      </w:r>
    </w:p>
    <w:p>
      <w:pPr>
        <w:spacing w:after="120"/>
      </w:pPr>
      <w:r>
        <w:t xml:space="preserve">The $62 million in "market development fees" suggests that unsubsidized ODL savings of approximately 1-1.5% were insufficient to justify integration costs. MoneyGram required payment to adopt ODL—they weren't saving enough organically to make the switch worthwhile.</w:t>
      </w:r>
    </w:p>
    <w:p>
      <w:pPr>
        <w:spacing w:after="120"/>
      </w:pPr>
      <w:r>
        <w:t xml:space="preserve">This implies that ODL's cost advantage, while real, may be narrower than marketing suggests, particularly for sophisticated operators who have already optimized their correspondent banking relationships.</w:t>
      </w:r>
    </w:p>
    <w:p>
      <w:r>
        <w:br w:type="page"/>
      </w:r>
    </w:p>
    <w:p>
      <w:pPr>
        <w:pStyle w:val="Heading1"/>
        <w:spacing w:before="400" w:after="200"/>
      </w:pPr>
      <w:r>
        <w:rPr>
          <w:b/>
          <w:bCs/>
        </w:rPr>
        <w:t xml:space="preserve">6. Break-Even Analysis</w:t>
      </w:r>
    </w:p>
    <w:p>
      <w:pPr>
        <w:pStyle w:val="Heading2"/>
        <w:spacing w:before="300" w:after="150"/>
      </w:pPr>
      <w:r>
        <w:rPr>
          <w:b/>
          <w:bCs/>
        </w:rPr>
        <w:t xml:space="preserve">6.1 Integration Costs</w:t>
      </w:r>
    </w:p>
    <w:p>
      <w:pPr>
        <w:spacing w:after="120"/>
      </w:pPr>
      <w:r>
        <w:t xml:space="preserve">Adopting ODL requires significant upfront investment:</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4500"/>
        <w:gridCol w:w="2300"/>
        <w:gridCol w:w="2560"/>
      </w:tblGrid>
      <w:tr>
        <w:trPr>
          <w:tblHeader/>
        </w:trPr>
        <w:tc>
          <w:tcPr>
            <w:tcW w:type="dxa" w:w="4500"/>
            <w:tcBorders>
              <w:top w:val="single" w:color="CCCCCC" w:sz="1"/>
              <w:left w:val="single" w:color="CCCCCC" w:sz="1"/>
              <w:bottom w:val="single" w:color="CCCCCC" w:sz="1"/>
              <w:right w:val="single" w:color="CCCCCC" w:sz="1"/>
            </w:tcBorders>
            <w:shd w:fill="1a365d" w:val="clear"/>
          </w:tcPr>
          <w:p>
            <w:pPr>
              <w:jc w:val="center"/>
            </w:pPr>
            <w:r>
              <w:rPr>
                <w:b/>
                <w:bCs/>
                <w:color w:val="FFFFFF"/>
              </w:rPr>
              <w:t xml:space="preserve">Cost Category</w:t>
            </w:r>
          </w:p>
        </w:tc>
        <w:tc>
          <w:tcPr>
            <w:tcW w:type="dxa" w:w="2300"/>
            <w:tcBorders>
              <w:top w:val="single" w:color="CCCCCC" w:sz="1"/>
              <w:left w:val="single" w:color="CCCCCC" w:sz="1"/>
              <w:bottom w:val="single" w:color="CCCCCC" w:sz="1"/>
              <w:right w:val="single" w:color="CCCCCC" w:sz="1"/>
            </w:tcBorders>
            <w:shd w:fill="1a365d" w:val="clear"/>
          </w:tcPr>
          <w:p>
            <w:pPr>
              <w:jc w:val="center"/>
            </w:pPr>
            <w:r>
              <w:rPr>
                <w:b/>
                <w:bCs/>
                <w:color w:val="FFFFFF"/>
              </w:rPr>
              <w:t xml:space="preserve">Estimated Range</w:t>
            </w:r>
          </w:p>
        </w:tc>
        <w:tc>
          <w:tcPr>
            <w:tcW w:type="dxa" w:w="2560"/>
            <w:tcBorders>
              <w:top w:val="single" w:color="CCCCCC" w:sz="1"/>
              <w:left w:val="single" w:color="CCCCCC" w:sz="1"/>
              <w:bottom w:val="single" w:color="CCCCCC" w:sz="1"/>
              <w:right w:val="single" w:color="CCCCCC" w:sz="1"/>
            </w:tcBorders>
            <w:shd w:fill="1a365d" w:val="clear"/>
          </w:tcPr>
          <w:p>
            <w:pPr>
              <w:jc w:val="center"/>
            </w:pPr>
            <w:r>
              <w:rPr>
                <w:b/>
                <w:bCs/>
                <w:color w:val="FFFFFF"/>
              </w:rPr>
              <w:t xml:space="preserve">Type</w:t>
            </w:r>
          </w:p>
        </w:tc>
      </w:tr>
      <w:tr>
        <w:tc>
          <w:tcPr>
            <w:tcW w:type="dxa" w:w="4500"/>
            <w:tcBorders>
              <w:top w:val="single" w:color="CCCCCC" w:sz="1"/>
              <w:left w:val="single" w:color="CCCCCC" w:sz="1"/>
              <w:bottom w:val="single" w:color="CCCCCC" w:sz="1"/>
              <w:right w:val="single" w:color="CCCCCC" w:sz="1"/>
            </w:tcBorders>
          </w:tcPr>
          <w:p>
            <w:r>
              <w:t xml:space="preserve">Technical integration</w:t>
            </w:r>
          </w:p>
        </w:tc>
        <w:tc>
          <w:tcPr>
            <w:tcW w:type="dxa" w:w="2300"/>
            <w:tcBorders>
              <w:top w:val="single" w:color="CCCCCC" w:sz="1"/>
              <w:left w:val="single" w:color="CCCCCC" w:sz="1"/>
              <w:bottom w:val="single" w:color="CCCCCC" w:sz="1"/>
              <w:right w:val="single" w:color="CCCCCC" w:sz="1"/>
            </w:tcBorders>
          </w:tcPr>
          <w:p>
            <w:pPr>
              <w:jc w:val="center"/>
            </w:pPr>
            <w:r>
              <w:t xml:space="preserve">$200K-$1M</w:t>
            </w:r>
          </w:p>
        </w:tc>
        <w:tc>
          <w:tcPr>
            <w:tcW w:type="dxa" w:w="2560"/>
            <w:tcBorders>
              <w:top w:val="single" w:color="CCCCCC" w:sz="1"/>
              <w:left w:val="single" w:color="CCCCCC" w:sz="1"/>
              <w:bottom w:val="single" w:color="CCCCCC" w:sz="1"/>
              <w:right w:val="single" w:color="CCCCCC" w:sz="1"/>
            </w:tcBorders>
          </w:tcPr>
          <w:p>
            <w:pPr>
              <w:jc w:val="center"/>
            </w:pPr>
            <w:r>
              <w:t xml:space="preserve">One-time</w:t>
            </w:r>
          </w:p>
        </w:tc>
      </w:tr>
      <w:tr>
        <w:tc>
          <w:tcPr>
            <w:tcW w:type="dxa" w:w="4500"/>
            <w:tcBorders>
              <w:top w:val="single" w:color="CCCCCC" w:sz="1"/>
              <w:left w:val="single" w:color="CCCCCC" w:sz="1"/>
              <w:bottom w:val="single" w:color="CCCCCC" w:sz="1"/>
              <w:right w:val="single" w:color="CCCCCC" w:sz="1"/>
            </w:tcBorders>
            <w:shd w:fill="f8fafc" w:val="clear"/>
          </w:tcPr>
          <w:p>
            <w:r>
              <w:t xml:space="preserve">Compliance/legal review</w:t>
            </w:r>
          </w:p>
        </w:tc>
        <w:tc>
          <w:tcPr>
            <w:tcW w:type="dxa" w:w="2300"/>
            <w:tcBorders>
              <w:top w:val="single" w:color="CCCCCC" w:sz="1"/>
              <w:left w:val="single" w:color="CCCCCC" w:sz="1"/>
              <w:bottom w:val="single" w:color="CCCCCC" w:sz="1"/>
              <w:right w:val="single" w:color="CCCCCC" w:sz="1"/>
            </w:tcBorders>
            <w:shd w:fill="f8fafc" w:val="clear"/>
          </w:tcPr>
          <w:p>
            <w:pPr>
              <w:jc w:val="center"/>
            </w:pPr>
            <w:r>
              <w:t xml:space="preserve">$100K-$500K</w:t>
            </w:r>
          </w:p>
        </w:tc>
        <w:tc>
          <w:tcPr>
            <w:tcW w:type="dxa" w:w="2560"/>
            <w:tcBorders>
              <w:top w:val="single" w:color="CCCCCC" w:sz="1"/>
              <w:left w:val="single" w:color="CCCCCC" w:sz="1"/>
              <w:bottom w:val="single" w:color="CCCCCC" w:sz="1"/>
              <w:right w:val="single" w:color="CCCCCC" w:sz="1"/>
            </w:tcBorders>
            <w:shd w:fill="f8fafc" w:val="clear"/>
          </w:tcPr>
          <w:p>
            <w:pPr>
              <w:jc w:val="center"/>
            </w:pPr>
            <w:r>
              <w:t xml:space="preserve">One-time</w:t>
            </w:r>
          </w:p>
        </w:tc>
      </w:tr>
      <w:tr>
        <w:tc>
          <w:tcPr>
            <w:tcW w:type="dxa" w:w="4500"/>
            <w:tcBorders>
              <w:top w:val="single" w:color="CCCCCC" w:sz="1"/>
              <w:left w:val="single" w:color="CCCCCC" w:sz="1"/>
              <w:bottom w:val="single" w:color="CCCCCC" w:sz="1"/>
              <w:right w:val="single" w:color="CCCCCC" w:sz="1"/>
            </w:tcBorders>
          </w:tcPr>
          <w:p>
            <w:r>
              <w:t xml:space="preserve">Staff training</w:t>
            </w:r>
          </w:p>
        </w:tc>
        <w:tc>
          <w:tcPr>
            <w:tcW w:type="dxa" w:w="2300"/>
            <w:tcBorders>
              <w:top w:val="single" w:color="CCCCCC" w:sz="1"/>
              <w:left w:val="single" w:color="CCCCCC" w:sz="1"/>
              <w:bottom w:val="single" w:color="CCCCCC" w:sz="1"/>
              <w:right w:val="single" w:color="CCCCCC" w:sz="1"/>
            </w:tcBorders>
          </w:tcPr>
          <w:p>
            <w:pPr>
              <w:jc w:val="center"/>
            </w:pPr>
            <w:r>
              <w:t xml:space="preserve">$50K-$200K</w:t>
            </w:r>
          </w:p>
        </w:tc>
        <w:tc>
          <w:tcPr>
            <w:tcW w:type="dxa" w:w="2560"/>
            <w:tcBorders>
              <w:top w:val="single" w:color="CCCCCC" w:sz="1"/>
              <w:left w:val="single" w:color="CCCCCC" w:sz="1"/>
              <w:bottom w:val="single" w:color="CCCCCC" w:sz="1"/>
              <w:right w:val="single" w:color="CCCCCC" w:sz="1"/>
            </w:tcBorders>
          </w:tcPr>
          <w:p>
            <w:pPr>
              <w:jc w:val="center"/>
            </w:pPr>
            <w:r>
              <w:t xml:space="preserve">One-time</w:t>
            </w:r>
          </w:p>
        </w:tc>
      </w:tr>
      <w:tr>
        <w:tc>
          <w:tcPr>
            <w:tcW w:type="dxa" w:w="4500"/>
            <w:tcBorders>
              <w:top w:val="single" w:color="CCCCCC" w:sz="1"/>
              <w:left w:val="single" w:color="CCCCCC" w:sz="1"/>
              <w:bottom w:val="single" w:color="CCCCCC" w:sz="1"/>
              <w:right w:val="single" w:color="CCCCCC" w:sz="1"/>
            </w:tcBorders>
            <w:shd w:fill="f8fafc" w:val="clear"/>
          </w:tcPr>
          <w:p>
            <w:r>
              <w:t xml:space="preserve">Ongoing operations</w:t>
            </w:r>
          </w:p>
        </w:tc>
        <w:tc>
          <w:tcPr>
            <w:tcW w:type="dxa" w:w="2300"/>
            <w:tcBorders>
              <w:top w:val="single" w:color="CCCCCC" w:sz="1"/>
              <w:left w:val="single" w:color="CCCCCC" w:sz="1"/>
              <w:bottom w:val="single" w:color="CCCCCC" w:sz="1"/>
              <w:right w:val="single" w:color="CCCCCC" w:sz="1"/>
            </w:tcBorders>
            <w:shd w:fill="f8fafc" w:val="clear"/>
          </w:tcPr>
          <w:p>
            <w:pPr>
              <w:jc w:val="center"/>
            </w:pPr>
            <w:r>
              <w:t xml:space="preserve">$100K-$300K/yr</w:t>
            </w:r>
          </w:p>
        </w:tc>
        <w:tc>
          <w:tcPr>
            <w:tcW w:type="dxa" w:w="2560"/>
            <w:tcBorders>
              <w:top w:val="single" w:color="CCCCCC" w:sz="1"/>
              <w:left w:val="single" w:color="CCCCCC" w:sz="1"/>
              <w:bottom w:val="single" w:color="CCCCCC" w:sz="1"/>
              <w:right w:val="single" w:color="CCCCCC" w:sz="1"/>
            </w:tcBorders>
            <w:shd w:fill="f8fafc" w:val="clear"/>
          </w:tcPr>
          <w:p>
            <w:pPr>
              <w:jc w:val="center"/>
            </w:pPr>
            <w:r>
              <w:t xml:space="preserve">Recurring</w:t>
            </w:r>
          </w:p>
        </w:tc>
      </w:tr>
      <w:tr>
        <w:tc>
          <w:tcPr>
            <w:tcW w:type="dxa" w:w="4500"/>
            <w:tcBorders>
              <w:top w:val="single" w:color="CCCCCC" w:sz="1"/>
              <w:left w:val="single" w:color="CCCCCC" w:sz="1"/>
              <w:bottom w:val="single" w:color="CCCCCC" w:sz="1"/>
              <w:right w:val="single" w:color="CCCCCC" w:sz="1"/>
            </w:tcBorders>
            <w:shd w:fill="e2e8f0" w:val="clear"/>
          </w:tcPr>
          <w:p>
            <w:r>
              <w:rPr>
                <w:b/>
                <w:bCs/>
              </w:rPr>
              <w:t xml:space="preserve">Total Year 1</w:t>
            </w:r>
          </w:p>
        </w:tc>
        <w:tc>
          <w:tcPr>
            <w:tcW w:type="dxa" w:w="2300"/>
            <w:tcBorders>
              <w:top w:val="single" w:color="CCCCCC" w:sz="1"/>
              <w:left w:val="single" w:color="CCCCCC" w:sz="1"/>
              <w:bottom w:val="single" w:color="CCCCCC" w:sz="1"/>
              <w:right w:val="single" w:color="CCCCCC" w:sz="1"/>
            </w:tcBorders>
            <w:shd w:fill="e2e8f0" w:val="clear"/>
          </w:tcPr>
          <w:p>
            <w:pPr>
              <w:jc w:val="center"/>
            </w:pPr>
            <w:r>
              <w:rPr>
                <w:b/>
                <w:bCs/>
              </w:rPr>
              <w:t xml:space="preserve">$450K-$2M</w:t>
            </w:r>
          </w:p>
        </w:tc>
        <w:tc>
          <w:tcPr>
            <w:tcW w:type="dxa" w:w="2560"/>
            <w:tcBorders>
              <w:top w:val="single" w:color="CCCCCC" w:sz="1"/>
              <w:left w:val="single" w:color="CCCCCC" w:sz="1"/>
              <w:bottom w:val="single" w:color="CCCCCC" w:sz="1"/>
              <w:right w:val="single" w:color="CCCCCC" w:sz="1"/>
            </w:tcBorders>
            <w:shd w:fill="e2e8f0" w:val="clear"/>
          </w:tcPr>
          <w:p>
            <w:pPr>
              <w:jc w:val="center"/>
            </w:pPr>
            <w:r>
              <w:rPr>
                <w:b/>
                <w:bCs/>
              </w:rPr>
              <w:t xml:space="preserve">-</w:t>
            </w:r>
          </w:p>
        </w:tc>
      </w:tr>
    </w:tbl>
    <w:p>
      <w:pPr>
        <w:pStyle w:val="Heading2"/>
        <w:spacing w:before="300" w:after="150"/>
      </w:pPr>
      <w:r>
        <w:rPr>
          <w:b/>
          <w:bCs/>
        </w:rPr>
        <w:t xml:space="preserve">6.2 Break-Even Volume Calculation</w:t>
      </w:r>
    </w:p>
    <w:p>
      <w:pPr>
        <w:pStyle w:val="Heading3"/>
        <w:spacing w:before="200" w:after="100"/>
      </w:pPr>
      <w:r>
        <w:rPr>
          <w:b/>
          <w:bCs/>
        </w:rPr>
        <w:t xml:space="preserve">Break-Even Formula</w:t>
      </w:r>
    </w:p>
    <w:p>
      <w:pPr>
        <w:shd w:fill="f1f5f9" w:val="clear"/>
        <w:spacing w:before="100" w:after="100"/>
        <w:jc w:val="center"/>
      </w:pPr>
      <w:r>
        <w:rPr>
          <w:rFonts w:ascii="Courier New" w:cs="Courier New" w:eastAsia="Courier New" w:hAnsi="Courier New"/>
          <w:sz w:val="24"/>
          <w:szCs w:val="24"/>
        </w:rPr>
        <w:t xml:space="preserve">V_breakeven = Integration_Cost / (C_traditional - C_ODL)</w:t>
      </w:r>
    </w:p>
    <w:p>
      <w:pPr>
        <w:pStyle w:val="Heading3"/>
        <w:spacing w:before="200" w:after="100"/>
      </w:pPr>
      <w:r>
        <w:rPr>
          <w:b/>
          <w:bCs/>
        </w:rPr>
        <w:t xml:space="preserve">Example Scenarios</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2200"/>
        <w:gridCol w:w="2200"/>
        <w:gridCol w:w="2000"/>
        <w:gridCol w:w="2960"/>
      </w:tblGrid>
      <w:tr>
        <w:trPr>
          <w:tblHeader/>
        </w:trPr>
        <w:tc>
          <w:tcPr>
            <w:tcW w:type="dxa" w:w="2200"/>
            <w:tcBorders>
              <w:top w:val="single" w:color="CCCCCC" w:sz="1"/>
              <w:left w:val="single" w:color="CCCCCC" w:sz="1"/>
              <w:bottom w:val="single" w:color="CCCCCC" w:sz="1"/>
              <w:right w:val="single" w:color="CCCCCC" w:sz="1"/>
            </w:tcBorders>
            <w:shd w:fill="1a365d" w:val="clear"/>
          </w:tcPr>
          <w:p>
            <w:pPr>
              <w:jc w:val="center"/>
            </w:pPr>
            <w:r>
              <w:rPr>
                <w:b/>
                <w:bCs/>
                <w:color w:val="FFFFFF"/>
              </w:rPr>
              <w:t xml:space="preserve">Integration Cost</w:t>
            </w:r>
          </w:p>
        </w:tc>
        <w:tc>
          <w:tcPr>
            <w:tcW w:type="dxa" w:w="2200"/>
            <w:tcBorders>
              <w:top w:val="single" w:color="CCCCCC" w:sz="1"/>
              <w:left w:val="single" w:color="CCCCCC" w:sz="1"/>
              <w:bottom w:val="single" w:color="CCCCCC" w:sz="1"/>
              <w:right w:val="single" w:color="CCCCCC" w:sz="1"/>
            </w:tcBorders>
            <w:shd w:fill="1a365d" w:val="clear"/>
          </w:tcPr>
          <w:p>
            <w:pPr>
              <w:jc w:val="center"/>
            </w:pPr>
            <w:r>
              <w:rPr>
                <w:b/>
                <w:bCs/>
                <w:color w:val="FFFFFF"/>
              </w:rPr>
              <w:t xml:space="preserve">Cost Savings</w:t>
            </w:r>
          </w:p>
        </w:tc>
        <w:tc>
          <w:tcPr>
            <w:tcW w:type="dxa" w:w="2000"/>
            <w:tcBorders>
              <w:top w:val="single" w:color="CCCCCC" w:sz="1"/>
              <w:left w:val="single" w:color="CCCCCC" w:sz="1"/>
              <w:bottom w:val="single" w:color="CCCCCC" w:sz="1"/>
              <w:right w:val="single" w:color="CCCCCC" w:sz="1"/>
            </w:tcBorders>
            <w:shd w:fill="1a365d" w:val="clear"/>
          </w:tcPr>
          <w:p>
            <w:pPr>
              <w:jc w:val="center"/>
            </w:pPr>
            <w:r>
              <w:rPr>
                <w:b/>
                <w:bCs/>
                <w:color w:val="FFFFFF"/>
              </w:rPr>
              <w:t xml:space="preserve">Break-Even</w:t>
            </w:r>
          </w:p>
        </w:tc>
        <w:tc>
          <w:tcPr>
            <w:tcW w:type="dxa" w:w="2960"/>
            <w:tcBorders>
              <w:top w:val="single" w:color="CCCCCC" w:sz="1"/>
              <w:left w:val="single" w:color="CCCCCC" w:sz="1"/>
              <w:bottom w:val="single" w:color="CCCCCC" w:sz="1"/>
              <w:right w:val="single" w:color="CCCCCC" w:sz="1"/>
            </w:tcBorders>
            <w:shd w:fill="1a365d" w:val="clear"/>
          </w:tcPr>
          <w:p>
            <w:pPr>
              <w:jc w:val="center"/>
            </w:pPr>
            <w:r>
              <w:rPr>
                <w:b/>
                <w:bCs/>
                <w:color w:val="FFFFFF"/>
              </w:rPr>
              <w:t xml:space="preserve">Assessment</w:t>
            </w:r>
          </w:p>
        </w:tc>
      </w:tr>
      <w:tr>
        <w:tc>
          <w:tcPr>
            <w:tcW w:type="dxa" w:w="2200"/>
            <w:tcBorders>
              <w:top w:val="single" w:color="CCCCCC" w:sz="1"/>
              <w:left w:val="single" w:color="CCCCCC" w:sz="1"/>
              <w:bottom w:val="single" w:color="CCCCCC" w:sz="1"/>
              <w:right w:val="single" w:color="CCCCCC" w:sz="1"/>
            </w:tcBorders>
          </w:tcPr>
          <w:p>
            <w:pPr>
              <w:jc w:val="center"/>
            </w:pPr>
            <w:r>
              <w:t xml:space="preserve">$500K</w:t>
            </w:r>
          </w:p>
        </w:tc>
        <w:tc>
          <w:tcPr>
            <w:tcW w:type="dxa" w:w="2200"/>
            <w:tcBorders>
              <w:top w:val="single" w:color="CCCCCC" w:sz="1"/>
              <w:left w:val="single" w:color="CCCCCC" w:sz="1"/>
              <w:bottom w:val="single" w:color="CCCCCC" w:sz="1"/>
              <w:right w:val="single" w:color="CCCCCC" w:sz="1"/>
            </w:tcBorders>
          </w:tcPr>
          <w:p>
            <w:pPr>
              <w:jc w:val="center"/>
            </w:pPr>
            <w:r>
              <w:t xml:space="preserve">3% (high-cost)</w:t>
            </w:r>
          </w:p>
        </w:tc>
        <w:tc>
          <w:tcPr>
            <w:tcW w:type="dxa" w:w="2000"/>
            <w:tcBorders>
              <w:top w:val="single" w:color="CCCCCC" w:sz="1"/>
              <w:left w:val="single" w:color="CCCCCC" w:sz="1"/>
              <w:bottom w:val="single" w:color="CCCCCC" w:sz="1"/>
              <w:right w:val="single" w:color="CCCCCC" w:sz="1"/>
            </w:tcBorders>
          </w:tcPr>
          <w:p>
            <w:pPr>
              <w:jc w:val="center"/>
            </w:pPr>
            <w:r>
              <w:t xml:space="preserve">$16.7M</w:t>
            </w:r>
          </w:p>
        </w:tc>
        <w:tc>
          <w:tcPr>
            <w:tcW w:type="dxa" w:w="2960"/>
            <w:tcBorders>
              <w:top w:val="single" w:color="CCCCCC" w:sz="1"/>
              <w:left w:val="single" w:color="CCCCCC" w:sz="1"/>
              <w:bottom w:val="single" w:color="CCCCCC" w:sz="1"/>
              <w:right w:val="single" w:color="CCCCCC" w:sz="1"/>
            </w:tcBorders>
          </w:tcPr>
          <w:p>
            <w:r>
              <w:t xml:space="preserve">Achievable</w:t>
            </w:r>
          </w:p>
        </w:tc>
      </w:tr>
      <w:tr>
        <w:tc>
          <w:tcPr>
            <w:tcW w:type="dxa" w:w="2200"/>
            <w:tcBorders>
              <w:top w:val="single" w:color="CCCCCC" w:sz="1"/>
              <w:left w:val="single" w:color="CCCCCC" w:sz="1"/>
              <w:bottom w:val="single" w:color="CCCCCC" w:sz="1"/>
              <w:right w:val="single" w:color="CCCCCC" w:sz="1"/>
            </w:tcBorders>
            <w:shd w:fill="f8fafc" w:val="clear"/>
          </w:tcPr>
          <w:p>
            <w:pPr>
              <w:jc w:val="center"/>
            </w:pPr>
            <w:r>
              <w:t xml:space="preserve">$500K</w:t>
            </w:r>
          </w:p>
        </w:tc>
        <w:tc>
          <w:tcPr>
            <w:tcW w:type="dxa" w:w="2200"/>
            <w:tcBorders>
              <w:top w:val="single" w:color="CCCCCC" w:sz="1"/>
              <w:left w:val="single" w:color="CCCCCC" w:sz="1"/>
              <w:bottom w:val="single" w:color="CCCCCC" w:sz="1"/>
              <w:right w:val="single" w:color="CCCCCC" w:sz="1"/>
            </w:tcBorders>
            <w:shd w:fill="f8fafc" w:val="clear"/>
          </w:tcPr>
          <w:p>
            <w:pPr>
              <w:jc w:val="center"/>
            </w:pPr>
            <w:r>
              <w:t xml:space="preserve">1.5% (medium)</w:t>
            </w:r>
          </w:p>
        </w:tc>
        <w:tc>
          <w:tcPr>
            <w:tcW w:type="dxa" w:w="2000"/>
            <w:tcBorders>
              <w:top w:val="single" w:color="CCCCCC" w:sz="1"/>
              <w:left w:val="single" w:color="CCCCCC" w:sz="1"/>
              <w:bottom w:val="single" w:color="CCCCCC" w:sz="1"/>
              <w:right w:val="single" w:color="CCCCCC" w:sz="1"/>
            </w:tcBorders>
            <w:shd w:fill="f8fafc" w:val="clear"/>
          </w:tcPr>
          <w:p>
            <w:pPr>
              <w:jc w:val="center"/>
            </w:pPr>
            <w:r>
              <w:t xml:space="preserve">$33.3M</w:t>
            </w:r>
          </w:p>
        </w:tc>
        <w:tc>
          <w:tcPr>
            <w:tcW w:type="dxa" w:w="2960"/>
            <w:tcBorders>
              <w:top w:val="single" w:color="CCCCCC" w:sz="1"/>
              <w:left w:val="single" w:color="CCCCCC" w:sz="1"/>
              <w:bottom w:val="single" w:color="CCCCCC" w:sz="1"/>
              <w:right w:val="single" w:color="CCCCCC" w:sz="1"/>
            </w:tcBorders>
            <w:shd w:fill="f8fafc" w:val="clear"/>
          </w:tcPr>
          <w:p>
            <w:r>
              <w:t xml:space="preserve">Challenging</w:t>
            </w:r>
          </w:p>
        </w:tc>
      </w:tr>
      <w:tr>
        <w:tc>
          <w:tcPr>
            <w:tcW w:type="dxa" w:w="2200"/>
            <w:tcBorders>
              <w:top w:val="single" w:color="CCCCCC" w:sz="1"/>
              <w:left w:val="single" w:color="CCCCCC" w:sz="1"/>
              <w:bottom w:val="single" w:color="CCCCCC" w:sz="1"/>
              <w:right w:val="single" w:color="CCCCCC" w:sz="1"/>
            </w:tcBorders>
          </w:tcPr>
          <w:p>
            <w:pPr>
              <w:jc w:val="center"/>
            </w:pPr>
            <w:r>
              <w:t xml:space="preserve">$1M</w:t>
            </w:r>
          </w:p>
        </w:tc>
        <w:tc>
          <w:tcPr>
            <w:tcW w:type="dxa" w:w="2200"/>
            <w:tcBorders>
              <w:top w:val="single" w:color="CCCCCC" w:sz="1"/>
              <w:left w:val="single" w:color="CCCCCC" w:sz="1"/>
              <w:bottom w:val="single" w:color="CCCCCC" w:sz="1"/>
              <w:right w:val="single" w:color="CCCCCC" w:sz="1"/>
            </w:tcBorders>
          </w:tcPr>
          <w:p>
            <w:pPr>
              <w:jc w:val="center"/>
            </w:pPr>
            <w:r>
              <w:t xml:space="preserve">1% (low)</w:t>
            </w:r>
          </w:p>
        </w:tc>
        <w:tc>
          <w:tcPr>
            <w:tcW w:type="dxa" w:w="2000"/>
            <w:tcBorders>
              <w:top w:val="single" w:color="CCCCCC" w:sz="1"/>
              <w:left w:val="single" w:color="CCCCCC" w:sz="1"/>
              <w:bottom w:val="single" w:color="CCCCCC" w:sz="1"/>
              <w:right w:val="single" w:color="CCCCCC" w:sz="1"/>
            </w:tcBorders>
          </w:tcPr>
          <w:p>
            <w:pPr>
              <w:jc w:val="center"/>
            </w:pPr>
            <w:r>
              <w:t xml:space="preserve">$100M</w:t>
            </w:r>
          </w:p>
        </w:tc>
        <w:tc>
          <w:tcPr>
            <w:tcW w:type="dxa" w:w="2960"/>
            <w:tcBorders>
              <w:top w:val="single" w:color="CCCCCC" w:sz="1"/>
              <w:left w:val="single" w:color="CCCCCC" w:sz="1"/>
              <w:bottom w:val="single" w:color="CCCCCC" w:sz="1"/>
              <w:right w:val="single" w:color="CCCCCC" w:sz="1"/>
            </w:tcBorders>
          </w:tcPr>
          <w:p>
            <w:r>
              <w:t xml:space="preserve">Difficult to justify</w:t>
            </w:r>
          </w:p>
        </w:tc>
      </w:tr>
    </w:tbl>
    <w:p>
      <w:pPr>
        <w:spacing w:after="120"/>
      </w:pPr>
      <w:r>
        <w:t xml:space="preserve">Implication: ODL integration is most compelling for operators with &gt;$20M annual volume in high-cost corridors.</w:t>
      </w:r>
    </w:p>
    <w:p>
      <w:r>
        <w:br w:type="page"/>
      </w:r>
    </w:p>
    <w:p>
      <w:pPr>
        <w:pStyle w:val="Heading1"/>
        <w:spacing w:before="400" w:after="200"/>
      </w:pPr>
      <w:r>
        <w:rPr>
          <w:b/>
          <w:bCs/>
        </w:rPr>
        <w:t xml:space="preserve">7. Current ODL Market Status (December 2025)</w:t>
      </w:r>
    </w:p>
    <w:p>
      <w:pPr>
        <w:pStyle w:val="Heading2"/>
        <w:spacing w:before="300" w:after="150"/>
      </w:pPr>
      <w:r>
        <w:rPr>
          <w:b/>
          <w:bCs/>
        </w:rPr>
        <w:t xml:space="preserve">7.1 Volume and Growth</w:t>
      </w:r>
    </w:p>
    <w:p>
      <w:pPr>
        <w:pStyle w:val="ListParagraph"/>
        <w:numPr>
          <w:ilvl w:val="0"/>
          <w:numId w:val="7"/>
        </w:numPr>
      </w:pPr>
      <w:r>
        <w:rPr>
          <w:b/>
          <w:bCs/>
        </w:rPr>
        <w:t xml:space="preserve">2024 ODL volume: </w:t>
      </w:r>
      <w:r>
        <w:t xml:space="preserve">$15 billion (32% YoY growth)</w:t>
      </w:r>
    </w:p>
    <w:p>
      <w:pPr>
        <w:pStyle w:val="ListParagraph"/>
        <w:numPr>
          <w:ilvl w:val="0"/>
          <w:numId w:val="7"/>
        </w:numPr>
      </w:pPr>
      <w:r>
        <w:rPr>
          <w:b/>
          <w:bCs/>
        </w:rPr>
        <w:t xml:space="preserve">RippleNet partners using ODL: </w:t>
      </w:r>
      <w:r>
        <w:t xml:space="preserve">40% of total partners</w:t>
      </w:r>
    </w:p>
    <w:p>
      <w:pPr>
        <w:pStyle w:val="ListParagraph"/>
        <w:numPr>
          <w:ilvl w:val="0"/>
          <w:numId w:val="7"/>
        </w:numPr>
      </w:pPr>
      <w:r>
        <w:rPr>
          <w:b/>
          <w:bCs/>
        </w:rPr>
        <w:t xml:space="preserve">Active corridors: </w:t>
      </w:r>
      <w:r>
        <w:t xml:space="preserve">45+ countries, 6 continents</w:t>
      </w:r>
    </w:p>
    <w:p>
      <w:pPr>
        <w:pStyle w:val="ListParagraph"/>
        <w:numPr>
          <w:ilvl w:val="0"/>
          <w:numId w:val="7"/>
        </w:numPr>
      </w:pPr>
      <w:r>
        <w:rPr>
          <w:b/>
          <w:bCs/>
        </w:rPr>
        <w:t xml:space="preserve">Asia-Pacific share: </w:t>
      </w:r>
      <w:r>
        <w:t xml:space="preserve">56% of global ODL volume</w:t>
      </w:r>
    </w:p>
    <w:p>
      <w:pPr>
        <w:pStyle w:val="Heading2"/>
        <w:spacing w:before="300" w:after="150"/>
      </w:pPr>
      <w:r>
        <w:rPr>
          <w:b/>
          <w:bCs/>
        </w:rPr>
        <w:t xml:space="preserve">7.2 Market Share Context</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4000"/>
        <w:gridCol w:w="2500"/>
        <w:gridCol w:w="2860"/>
      </w:tblGrid>
      <w:tr>
        <w:trPr>
          <w:tblHeader/>
        </w:trPr>
        <w:tc>
          <w:tcPr>
            <w:tcW w:type="dxa" w:w="4000"/>
            <w:tcBorders>
              <w:top w:val="single" w:color="CCCCCC" w:sz="1"/>
              <w:left w:val="single" w:color="CCCCCC" w:sz="1"/>
              <w:bottom w:val="single" w:color="CCCCCC" w:sz="1"/>
              <w:right w:val="single" w:color="CCCCCC" w:sz="1"/>
            </w:tcBorders>
            <w:shd w:fill="1a365d" w:val="clear"/>
          </w:tcPr>
          <w:p>
            <w:pPr>
              <w:jc w:val="center"/>
            </w:pPr>
            <w:r>
              <w:rPr>
                <w:b/>
                <w:bCs/>
                <w:color w:val="FFFFFF"/>
              </w:rPr>
              <w:t xml:space="preserve">Comparison Basis</w:t>
            </w:r>
          </w:p>
        </w:tc>
        <w:tc>
          <w:tcPr>
            <w:tcW w:type="dxa" w:w="2500"/>
            <w:tcBorders>
              <w:top w:val="single" w:color="CCCCCC" w:sz="1"/>
              <w:left w:val="single" w:color="CCCCCC" w:sz="1"/>
              <w:bottom w:val="single" w:color="CCCCCC" w:sz="1"/>
              <w:right w:val="single" w:color="CCCCCC" w:sz="1"/>
            </w:tcBorders>
            <w:shd w:fill="1a365d" w:val="clear"/>
          </w:tcPr>
          <w:p>
            <w:pPr>
              <w:jc w:val="center"/>
            </w:pPr>
            <w:r>
              <w:rPr>
                <w:b/>
                <w:bCs/>
                <w:color w:val="FFFFFF"/>
              </w:rPr>
              <w:t xml:space="preserve">ODL Share</w:t>
            </w:r>
          </w:p>
        </w:tc>
        <w:tc>
          <w:tcPr>
            <w:tcW w:type="dxa" w:w="2860"/>
            <w:tcBorders>
              <w:top w:val="single" w:color="CCCCCC" w:sz="1"/>
              <w:left w:val="single" w:color="CCCCCC" w:sz="1"/>
              <w:bottom w:val="single" w:color="CCCCCC" w:sz="1"/>
              <w:right w:val="single" w:color="CCCCCC" w:sz="1"/>
            </w:tcBorders>
            <w:shd w:fill="1a365d" w:val="clear"/>
          </w:tcPr>
          <w:p>
            <w:pPr>
              <w:jc w:val="center"/>
            </w:pPr>
            <w:r>
              <w:rPr>
                <w:b/>
                <w:bCs/>
                <w:color w:val="FFFFFF"/>
              </w:rPr>
              <w:t xml:space="preserve">Interpretation</w:t>
            </w:r>
          </w:p>
        </w:tc>
      </w:tr>
      <w:tr>
        <w:tc>
          <w:tcPr>
            <w:tcW w:type="dxa" w:w="4000"/>
            <w:tcBorders>
              <w:top w:val="single" w:color="CCCCCC" w:sz="1"/>
              <w:left w:val="single" w:color="CCCCCC" w:sz="1"/>
              <w:bottom w:val="single" w:color="CCCCCC" w:sz="1"/>
              <w:right w:val="single" w:color="CCCCCC" w:sz="1"/>
            </w:tcBorders>
          </w:tcPr>
          <w:p>
            <w:r>
              <w:t xml:space="preserve">vs. Total Cross-Border ($190T)</w:t>
            </w:r>
          </w:p>
        </w:tc>
        <w:tc>
          <w:tcPr>
            <w:tcW w:type="dxa" w:w="2500"/>
            <w:tcBorders>
              <w:top w:val="single" w:color="CCCCCC" w:sz="1"/>
              <w:left w:val="single" w:color="CCCCCC" w:sz="1"/>
              <w:bottom w:val="single" w:color="CCCCCC" w:sz="1"/>
              <w:right w:val="single" w:color="CCCCCC" w:sz="1"/>
            </w:tcBorders>
          </w:tcPr>
          <w:p>
            <w:pPr>
              <w:jc w:val="center"/>
            </w:pPr>
            <w:r>
              <w:t xml:space="preserve">0.008%</w:t>
            </w:r>
          </w:p>
        </w:tc>
        <w:tc>
          <w:tcPr>
            <w:tcW w:type="dxa" w:w="2860"/>
            <w:tcBorders>
              <w:top w:val="single" w:color="CCCCCC" w:sz="1"/>
              <w:left w:val="single" w:color="CCCCCC" w:sz="1"/>
              <w:bottom w:val="single" w:color="CCCCCC" w:sz="1"/>
              <w:right w:val="single" w:color="CCCCCC" w:sz="1"/>
            </w:tcBorders>
          </w:tcPr>
          <w:p>
            <w:r>
              <w:t xml:space="preserve">Negligible</w:t>
            </w:r>
          </w:p>
        </w:tc>
      </w:tr>
      <w:tr>
        <w:tc>
          <w:tcPr>
            <w:tcW w:type="dxa" w:w="4000"/>
            <w:tcBorders>
              <w:top w:val="single" w:color="CCCCCC" w:sz="1"/>
              <w:left w:val="single" w:color="CCCCCC" w:sz="1"/>
              <w:bottom w:val="single" w:color="CCCCCC" w:sz="1"/>
              <w:right w:val="single" w:color="CCCCCC" w:sz="1"/>
            </w:tcBorders>
            <w:shd w:fill="f8fafc" w:val="clear"/>
          </w:tcPr>
          <w:p>
            <w:r>
              <w:t xml:space="preserve">vs. Global Remittances ($905B)</w:t>
            </w:r>
          </w:p>
        </w:tc>
        <w:tc>
          <w:tcPr>
            <w:tcW w:type="dxa" w:w="2500"/>
            <w:tcBorders>
              <w:top w:val="single" w:color="CCCCCC" w:sz="1"/>
              <w:left w:val="single" w:color="CCCCCC" w:sz="1"/>
              <w:bottom w:val="single" w:color="CCCCCC" w:sz="1"/>
              <w:right w:val="single" w:color="CCCCCC" w:sz="1"/>
            </w:tcBorders>
            <w:shd w:fill="f8fafc" w:val="clear"/>
          </w:tcPr>
          <w:p>
            <w:pPr>
              <w:jc w:val="center"/>
            </w:pPr>
            <w:r>
              <w:t xml:space="preserve">1.7%</w:t>
            </w:r>
          </w:p>
        </w:tc>
        <w:tc>
          <w:tcPr>
            <w:tcW w:type="dxa" w:w="2860"/>
            <w:tcBorders>
              <w:top w:val="single" w:color="CCCCCC" w:sz="1"/>
              <w:left w:val="single" w:color="CCCCCC" w:sz="1"/>
              <w:bottom w:val="single" w:color="CCCCCC" w:sz="1"/>
              <w:right w:val="single" w:color="CCCCCC" w:sz="1"/>
            </w:tcBorders>
            <w:shd w:fill="f8fafc" w:val="clear"/>
          </w:tcPr>
          <w:p>
            <w:r>
              <w:t xml:space="preserve">Small but meaningful</w:t>
            </w:r>
          </w:p>
        </w:tc>
      </w:tr>
      <w:tr>
        <w:tc>
          <w:tcPr>
            <w:tcW w:type="dxa" w:w="4000"/>
            <w:tcBorders>
              <w:top w:val="single" w:color="CCCCCC" w:sz="1"/>
              <w:left w:val="single" w:color="CCCCCC" w:sz="1"/>
              <w:bottom w:val="single" w:color="CCCCCC" w:sz="1"/>
              <w:right w:val="single" w:color="CCCCCC" w:sz="1"/>
            </w:tcBorders>
          </w:tcPr>
          <w:p>
            <w:r>
              <w:t xml:space="preserve">vs. Digital Remittances (~$200B)</w:t>
            </w:r>
          </w:p>
        </w:tc>
        <w:tc>
          <w:tcPr>
            <w:tcW w:type="dxa" w:w="2500"/>
            <w:tcBorders>
              <w:top w:val="single" w:color="CCCCCC" w:sz="1"/>
              <w:left w:val="single" w:color="CCCCCC" w:sz="1"/>
              <w:bottom w:val="single" w:color="CCCCCC" w:sz="1"/>
              <w:right w:val="single" w:color="CCCCCC" w:sz="1"/>
            </w:tcBorders>
          </w:tcPr>
          <w:p>
            <w:pPr>
              <w:jc w:val="center"/>
            </w:pPr>
            <w:r>
              <w:t xml:space="preserve">7.5%</w:t>
            </w:r>
          </w:p>
        </w:tc>
        <w:tc>
          <w:tcPr>
            <w:tcW w:type="dxa" w:w="2860"/>
            <w:tcBorders>
              <w:top w:val="single" w:color="CCCCCC" w:sz="1"/>
              <w:left w:val="single" w:color="CCCCCC" w:sz="1"/>
              <w:bottom w:val="single" w:color="CCCCCC" w:sz="1"/>
              <w:right w:val="single" w:color="CCCCCC" w:sz="1"/>
            </w:tcBorders>
          </w:tcPr>
          <w:p>
            <w:r>
              <w:t xml:space="preserve">Notable niche</w:t>
            </w:r>
          </w:p>
        </w:tc>
      </w:tr>
      <w:tr>
        <w:tc>
          <w:tcPr>
            <w:tcW w:type="dxa" w:w="4000"/>
            <w:tcBorders>
              <w:top w:val="single" w:color="CCCCCC" w:sz="1"/>
              <w:left w:val="single" w:color="CCCCCC" w:sz="1"/>
              <w:bottom w:val="single" w:color="CCCCCC" w:sz="1"/>
              <w:right w:val="single" w:color="CCCCCC" w:sz="1"/>
            </w:tcBorders>
            <w:shd w:fill="f8fafc" w:val="clear"/>
          </w:tcPr>
          <w:p>
            <w:r>
              <w:t xml:space="preserve">vs. Stablecoin Payments ($5.7T)</w:t>
            </w:r>
          </w:p>
        </w:tc>
        <w:tc>
          <w:tcPr>
            <w:tcW w:type="dxa" w:w="2500"/>
            <w:tcBorders>
              <w:top w:val="single" w:color="CCCCCC" w:sz="1"/>
              <w:left w:val="single" w:color="CCCCCC" w:sz="1"/>
              <w:bottom w:val="single" w:color="CCCCCC" w:sz="1"/>
              <w:right w:val="single" w:color="CCCCCC" w:sz="1"/>
            </w:tcBorders>
            <w:shd w:fill="f8fafc" w:val="clear"/>
          </w:tcPr>
          <w:p>
            <w:pPr>
              <w:jc w:val="center"/>
            </w:pPr>
            <w:r>
              <w:t xml:space="preserve">0.26%</w:t>
            </w:r>
          </w:p>
        </w:tc>
        <w:tc>
          <w:tcPr>
            <w:tcW w:type="dxa" w:w="2860"/>
            <w:tcBorders>
              <w:top w:val="single" w:color="CCCCCC" w:sz="1"/>
              <w:left w:val="single" w:color="CCCCCC" w:sz="1"/>
              <w:bottom w:val="single" w:color="CCCCCC" w:sz="1"/>
              <w:right w:val="single" w:color="CCCCCC" w:sz="1"/>
            </w:tcBorders>
            <w:shd w:fill="f8fafc" w:val="clear"/>
          </w:tcPr>
          <w:p>
            <w:r>
              <w:t xml:space="preserve">Far behind</w:t>
            </w:r>
          </w:p>
        </w:tc>
      </w:tr>
    </w:tbl>
    <w:p>
      <w:pPr>
        <w:pStyle w:val="Heading2"/>
        <w:spacing w:before="300" w:after="150"/>
      </w:pPr>
      <w:r>
        <w:rPr>
          <w:b/>
          <w:bCs/>
        </w:rPr>
        <w:t xml:space="preserve">7.3 Key Active Corridors</w:t>
      </w:r>
    </w:p>
    <w:p>
      <w:pPr>
        <w:spacing w:after="120"/>
      </w:pPr>
      <w:r>
        <w:t xml:space="preserve">The most active ODL corridors (as of late 2025):</w:t>
      </w:r>
    </w:p>
    <w:p>
      <w:pPr>
        <w:pStyle w:val="ListParagraph"/>
        <w:numPr>
          <w:ilvl w:val="0"/>
          <w:numId w:val="7"/>
        </w:numPr>
      </w:pPr>
      <w:r>
        <w:rPr>
          <w:b/>
          <w:bCs/>
        </w:rPr>
        <w:t xml:space="preserve">US → Mexico: </w:t>
      </w:r>
      <w:r>
        <w:t xml:space="preserve">$2 billion+ annually via Bitso exchange</w:t>
      </w:r>
    </w:p>
    <w:p>
      <w:pPr>
        <w:pStyle w:val="ListParagraph"/>
        <w:numPr>
          <w:ilvl w:val="0"/>
          <w:numId w:val="7"/>
        </w:numPr>
      </w:pPr>
      <w:r>
        <w:rPr>
          <w:b/>
          <w:bCs/>
        </w:rPr>
        <w:t xml:space="preserve">Japan → Philippines: </w:t>
      </w:r>
      <w:r>
        <w:t xml:space="preserve">Via SBI Remit, billions in annual volume</w:t>
      </w:r>
    </w:p>
    <w:p>
      <w:pPr>
        <w:pStyle w:val="ListParagraph"/>
        <w:numPr>
          <w:ilvl w:val="0"/>
          <w:numId w:val="7"/>
        </w:numPr>
      </w:pPr>
      <w:r>
        <w:rPr>
          <w:b/>
          <w:bCs/>
        </w:rPr>
        <w:t xml:space="preserve">Europe → Mexico: </w:t>
      </w:r>
      <w:r>
        <w:t xml:space="preserve">Via various partners</w:t>
      </w:r>
    </w:p>
    <w:p>
      <w:pPr>
        <w:pStyle w:val="ListParagraph"/>
        <w:numPr>
          <w:ilvl w:val="0"/>
          <w:numId w:val="7"/>
        </w:numPr>
      </w:pPr>
      <w:r>
        <w:rPr>
          <w:b/>
          <w:bCs/>
        </w:rPr>
        <w:t xml:space="preserve">UAE → Philippines: </w:t>
      </w:r>
      <w:r>
        <w:t xml:space="preserve">Growing corridor</w:t>
      </w:r>
    </w:p>
    <w:p>
      <w:pPr>
        <w:pStyle w:val="ListParagraph"/>
        <w:numPr>
          <w:ilvl w:val="0"/>
          <w:numId w:val="7"/>
        </w:numPr>
      </w:pPr>
      <w:r>
        <w:rPr>
          <w:b/>
          <w:bCs/>
        </w:rPr>
        <w:t xml:space="preserve">Singapore → various: </w:t>
      </w:r>
      <w:r>
        <w:t xml:space="preserve">FOMO Pay and others</w:t>
      </w:r>
    </w:p>
    <w:p>
      <w:r>
        <w:br w:type="page"/>
      </w:r>
    </w:p>
    <w:p>
      <w:pPr>
        <w:pStyle w:val="Heading1"/>
        <w:spacing w:before="400" w:after="200"/>
      </w:pPr>
      <w:r>
        <w:rPr>
          <w:b/>
          <w:bCs/>
        </w:rPr>
        <w:t xml:space="preserve">8. Investment Implications</w:t>
      </w:r>
    </w:p>
    <w:p>
      <w:pPr>
        <w:pStyle w:val="Heading2"/>
        <w:spacing w:before="300" w:after="150"/>
      </w:pPr>
      <w:r>
        <w:rPr>
          <w:b/>
          <w:bCs/>
        </w:rPr>
        <w:t xml:space="preserve">8.1 Volume-to-Price Sensitivity</w:t>
      </w:r>
    </w:p>
    <w:p>
      <w:pPr>
        <w:spacing w:after="120"/>
      </w:pPr>
      <w:r>
        <w:t xml:space="preserve">For XRP investors, the critical question is: How much ODL volume translates to price impact?</w:t>
      </w:r>
    </w:p>
    <w:p>
      <w:pPr>
        <w:pStyle w:val="Heading3"/>
        <w:spacing w:before="200" w:after="100"/>
      </w:pPr>
      <w:r>
        <w:rPr>
          <w:b/>
          <w:bCs/>
        </w:rPr>
        <w:t xml:space="preserve">Working Capital Requirements</w:t>
      </w:r>
    </w:p>
    <w:p>
      <w:pPr>
        <w:spacing w:after="120"/>
      </w:pPr>
      <w:r>
        <w:t xml:space="preserve">ODL requires XRP to be held briefly during settlement. The amount depends on:</w:t>
      </w:r>
    </w:p>
    <w:p>
      <w:pPr>
        <w:pStyle w:val="ListParagraph"/>
        <w:numPr>
          <w:ilvl w:val="0"/>
          <w:numId w:val="7"/>
        </w:numPr>
      </w:pPr>
      <w:r>
        <w:rPr>
          <w:b/>
          <w:bCs/>
        </w:rPr>
        <w:t xml:space="preserve">Transaction velocity: </w:t>
      </w:r>
      <w:r>
        <w:t xml:space="preserve">How many times the same XRP can be "reused" per day</w:t>
      </w:r>
    </w:p>
    <w:p>
      <w:pPr>
        <w:pStyle w:val="ListParagraph"/>
        <w:numPr>
          <w:ilvl w:val="0"/>
          <w:numId w:val="7"/>
        </w:numPr>
      </w:pPr>
      <w:r>
        <w:rPr>
          <w:b/>
          <w:bCs/>
        </w:rPr>
        <w:t xml:space="preserve">Settlement time: </w:t>
      </w:r>
      <w:r>
        <w:t xml:space="preserve">Typically 3-5 seconds on-ledger, minutes end-to-end</w:t>
      </w:r>
    </w:p>
    <w:p>
      <w:pPr>
        <w:pStyle w:val="ListParagraph"/>
        <w:numPr>
          <w:ilvl w:val="0"/>
          <w:numId w:val="7"/>
        </w:numPr>
      </w:pPr>
      <w:r>
        <w:rPr>
          <w:b/>
          <w:bCs/>
        </w:rPr>
        <w:t xml:space="preserve">Buffer requirements: </w:t>
      </w:r>
      <w:r>
        <w:t xml:space="preserve">Market makers hold inventory for execution</w:t>
      </w:r>
    </w:p>
    <w:p>
      <w:pPr>
        <w:spacing w:after="120"/>
      </w:pPr>
      <w:r>
        <w:t xml:space="preserve">Conservative estimate: ODL requires 5-10% of daily volume as XRP working capital.</w:t>
      </w:r>
    </w:p>
    <w:p>
      <w:pPr>
        <w:pStyle w:val="Heading3"/>
        <w:spacing w:before="200" w:after="100"/>
      </w:pPr>
      <w:r>
        <w:rPr>
          <w:b/>
          <w:bCs/>
        </w:rPr>
        <w:t xml:space="preserve">Scenario Analysis</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2500"/>
        <w:gridCol w:w="2500"/>
        <w:gridCol w:w="2200"/>
        <w:gridCol w:w="2160"/>
      </w:tblGrid>
      <w:tr>
        <w:trPr>
          <w:tblHeader/>
        </w:trPr>
        <w:tc>
          <w:tcPr>
            <w:tcW w:type="dxa" w:w="2500"/>
            <w:tcBorders>
              <w:top w:val="single" w:color="CCCCCC" w:sz="1"/>
              <w:left w:val="single" w:color="CCCCCC" w:sz="1"/>
              <w:bottom w:val="single" w:color="CCCCCC" w:sz="1"/>
              <w:right w:val="single" w:color="CCCCCC" w:sz="1"/>
            </w:tcBorders>
            <w:shd w:fill="1a365d" w:val="clear"/>
          </w:tcPr>
          <w:p>
            <w:pPr>
              <w:jc w:val="center"/>
            </w:pPr>
            <w:r>
              <w:rPr>
                <w:b/>
                <w:bCs/>
                <w:color w:val="FFFFFF"/>
              </w:rPr>
              <w:t xml:space="preserve">Annual ODL Volume</w:t>
            </w:r>
          </w:p>
        </w:tc>
        <w:tc>
          <w:tcPr>
            <w:tcW w:type="dxa" w:w="2500"/>
            <w:tcBorders>
              <w:top w:val="single" w:color="CCCCCC" w:sz="1"/>
              <w:left w:val="single" w:color="CCCCCC" w:sz="1"/>
              <w:bottom w:val="single" w:color="CCCCCC" w:sz="1"/>
              <w:right w:val="single" w:color="CCCCCC" w:sz="1"/>
            </w:tcBorders>
            <w:shd w:fill="1a365d" w:val="clear"/>
          </w:tcPr>
          <w:p>
            <w:pPr>
              <w:jc w:val="center"/>
            </w:pPr>
            <w:r>
              <w:rPr>
                <w:b/>
                <w:bCs/>
                <w:color w:val="FFFFFF"/>
              </w:rPr>
              <w:t xml:space="preserve">XRP Working Cap</w:t>
            </w:r>
          </w:p>
        </w:tc>
        <w:tc>
          <w:tcPr>
            <w:tcW w:type="dxa" w:w="2200"/>
            <w:tcBorders>
              <w:top w:val="single" w:color="CCCCCC" w:sz="1"/>
              <w:left w:val="single" w:color="CCCCCC" w:sz="1"/>
              <w:bottom w:val="single" w:color="CCCCCC" w:sz="1"/>
              <w:right w:val="single" w:color="CCCCCC" w:sz="1"/>
            </w:tcBorders>
            <w:shd w:fill="1a365d" w:val="clear"/>
          </w:tcPr>
          <w:p>
            <w:pPr>
              <w:jc w:val="center"/>
            </w:pPr>
            <w:r>
              <w:rPr>
                <w:b/>
                <w:bCs/>
                <w:color w:val="FFFFFF"/>
              </w:rPr>
              <w:t xml:space="preserve">% of Supply</w:t>
            </w:r>
          </w:p>
        </w:tc>
        <w:tc>
          <w:tcPr>
            <w:tcW w:type="dxa" w:w="2160"/>
            <w:tcBorders>
              <w:top w:val="single" w:color="CCCCCC" w:sz="1"/>
              <w:left w:val="single" w:color="CCCCCC" w:sz="1"/>
              <w:bottom w:val="single" w:color="CCCCCC" w:sz="1"/>
              <w:right w:val="single" w:color="CCCCCC" w:sz="1"/>
            </w:tcBorders>
            <w:shd w:fill="1a365d" w:val="clear"/>
          </w:tcPr>
          <w:p>
            <w:pPr>
              <w:jc w:val="center"/>
            </w:pPr>
            <w:r>
              <w:rPr>
                <w:b/>
                <w:bCs/>
                <w:color w:val="FFFFFF"/>
              </w:rPr>
              <w:t xml:space="preserve">Price Impact</w:t>
            </w:r>
          </w:p>
        </w:tc>
      </w:tr>
      <w:tr>
        <w:tc>
          <w:tcPr>
            <w:tcW w:type="dxa" w:w="2500"/>
            <w:tcBorders>
              <w:top w:val="single" w:color="CCCCCC" w:sz="1"/>
              <w:left w:val="single" w:color="CCCCCC" w:sz="1"/>
              <w:bottom w:val="single" w:color="CCCCCC" w:sz="1"/>
              <w:right w:val="single" w:color="CCCCCC" w:sz="1"/>
            </w:tcBorders>
          </w:tcPr>
          <w:p>
            <w:pPr>
              <w:jc w:val="center"/>
            </w:pPr>
            <w:r>
              <w:t xml:space="preserve">$15B (current)</w:t>
            </w:r>
          </w:p>
        </w:tc>
        <w:tc>
          <w:tcPr>
            <w:tcW w:type="dxa" w:w="2500"/>
            <w:tcBorders>
              <w:top w:val="single" w:color="CCCCCC" w:sz="1"/>
              <w:left w:val="single" w:color="CCCCCC" w:sz="1"/>
              <w:bottom w:val="single" w:color="CCCCCC" w:sz="1"/>
              <w:right w:val="single" w:color="CCCCCC" w:sz="1"/>
            </w:tcBorders>
          </w:tcPr>
          <w:p>
            <w:pPr>
              <w:jc w:val="center"/>
            </w:pPr>
            <w:r>
              <w:t xml:space="preserve">$40-80M</w:t>
            </w:r>
          </w:p>
        </w:tc>
        <w:tc>
          <w:tcPr>
            <w:tcW w:type="dxa" w:w="2200"/>
            <w:tcBorders>
              <w:top w:val="single" w:color="CCCCCC" w:sz="1"/>
              <w:left w:val="single" w:color="CCCCCC" w:sz="1"/>
              <w:bottom w:val="single" w:color="CCCCCC" w:sz="1"/>
              <w:right w:val="single" w:color="CCCCCC" w:sz="1"/>
            </w:tcBorders>
          </w:tcPr>
          <w:p>
            <w:pPr>
              <w:jc w:val="center"/>
            </w:pPr>
            <w:r>
              <w:t xml:space="preserve">&lt;0.1%</w:t>
            </w:r>
          </w:p>
        </w:tc>
        <w:tc>
          <w:tcPr>
            <w:tcW w:type="dxa" w:w="2160"/>
            <w:tcBorders>
              <w:top w:val="single" w:color="CCCCCC" w:sz="1"/>
              <w:left w:val="single" w:color="CCCCCC" w:sz="1"/>
              <w:bottom w:val="single" w:color="CCCCCC" w:sz="1"/>
              <w:right w:val="single" w:color="CCCCCC" w:sz="1"/>
            </w:tcBorders>
          </w:tcPr>
          <w:p>
            <w:r>
              <w:t xml:space="preserve">Negligible</w:t>
            </w:r>
          </w:p>
        </w:tc>
      </w:tr>
      <w:tr>
        <w:tc>
          <w:tcPr>
            <w:tcW w:type="dxa" w:w="2500"/>
            <w:tcBorders>
              <w:top w:val="single" w:color="CCCCCC" w:sz="1"/>
              <w:left w:val="single" w:color="CCCCCC" w:sz="1"/>
              <w:bottom w:val="single" w:color="CCCCCC" w:sz="1"/>
              <w:right w:val="single" w:color="CCCCCC" w:sz="1"/>
            </w:tcBorders>
            <w:shd w:fill="f8fafc" w:val="clear"/>
          </w:tcPr>
          <w:p>
            <w:pPr>
              <w:jc w:val="center"/>
            </w:pPr>
            <w:r>
              <w:t xml:space="preserve">$100B</w:t>
            </w:r>
          </w:p>
        </w:tc>
        <w:tc>
          <w:tcPr>
            <w:tcW w:type="dxa" w:w="2500"/>
            <w:tcBorders>
              <w:top w:val="single" w:color="CCCCCC" w:sz="1"/>
              <w:left w:val="single" w:color="CCCCCC" w:sz="1"/>
              <w:bottom w:val="single" w:color="CCCCCC" w:sz="1"/>
              <w:right w:val="single" w:color="CCCCCC" w:sz="1"/>
            </w:tcBorders>
            <w:shd w:fill="f8fafc" w:val="clear"/>
          </w:tcPr>
          <w:p>
            <w:pPr>
              <w:jc w:val="center"/>
            </w:pPr>
            <w:r>
              <w:t xml:space="preserve">$270-550M</w:t>
            </w:r>
          </w:p>
        </w:tc>
        <w:tc>
          <w:tcPr>
            <w:tcW w:type="dxa" w:w="2200"/>
            <w:tcBorders>
              <w:top w:val="single" w:color="CCCCCC" w:sz="1"/>
              <w:left w:val="single" w:color="CCCCCC" w:sz="1"/>
              <w:bottom w:val="single" w:color="CCCCCC" w:sz="1"/>
              <w:right w:val="single" w:color="CCCCCC" w:sz="1"/>
            </w:tcBorders>
            <w:shd w:fill="f8fafc" w:val="clear"/>
          </w:tcPr>
          <w:p>
            <w:pPr>
              <w:jc w:val="center"/>
            </w:pPr>
            <w:r>
              <w:t xml:space="preserve">0.5-1%</w:t>
            </w:r>
          </w:p>
        </w:tc>
        <w:tc>
          <w:tcPr>
            <w:tcW w:type="dxa" w:w="2160"/>
            <w:tcBorders>
              <w:top w:val="single" w:color="CCCCCC" w:sz="1"/>
              <w:left w:val="single" w:color="CCCCCC" w:sz="1"/>
              <w:bottom w:val="single" w:color="CCCCCC" w:sz="1"/>
              <w:right w:val="single" w:color="CCCCCC" w:sz="1"/>
            </w:tcBorders>
            <w:shd w:fill="f8fafc" w:val="clear"/>
          </w:tcPr>
          <w:p>
            <w:r>
              <w:t xml:space="preserve">Minimal</w:t>
            </w:r>
          </w:p>
        </w:tc>
      </w:tr>
      <w:tr>
        <w:tc>
          <w:tcPr>
            <w:tcW w:type="dxa" w:w="2500"/>
            <w:tcBorders>
              <w:top w:val="single" w:color="CCCCCC" w:sz="1"/>
              <w:left w:val="single" w:color="CCCCCC" w:sz="1"/>
              <w:bottom w:val="single" w:color="CCCCCC" w:sz="1"/>
              <w:right w:val="single" w:color="CCCCCC" w:sz="1"/>
            </w:tcBorders>
          </w:tcPr>
          <w:p>
            <w:pPr>
              <w:jc w:val="center"/>
            </w:pPr>
            <w:r>
              <w:t xml:space="preserve">$500B</w:t>
            </w:r>
          </w:p>
        </w:tc>
        <w:tc>
          <w:tcPr>
            <w:tcW w:type="dxa" w:w="2500"/>
            <w:tcBorders>
              <w:top w:val="single" w:color="CCCCCC" w:sz="1"/>
              <w:left w:val="single" w:color="CCCCCC" w:sz="1"/>
              <w:bottom w:val="single" w:color="CCCCCC" w:sz="1"/>
              <w:right w:val="single" w:color="CCCCCC" w:sz="1"/>
            </w:tcBorders>
          </w:tcPr>
          <w:p>
            <w:pPr>
              <w:jc w:val="center"/>
            </w:pPr>
            <w:r>
              <w:t xml:space="preserve">$1.4-2.7B</w:t>
            </w:r>
          </w:p>
        </w:tc>
        <w:tc>
          <w:tcPr>
            <w:tcW w:type="dxa" w:w="2200"/>
            <w:tcBorders>
              <w:top w:val="single" w:color="CCCCCC" w:sz="1"/>
              <w:left w:val="single" w:color="CCCCCC" w:sz="1"/>
              <w:bottom w:val="single" w:color="CCCCCC" w:sz="1"/>
              <w:right w:val="single" w:color="CCCCCC" w:sz="1"/>
            </w:tcBorders>
          </w:tcPr>
          <w:p>
            <w:pPr>
              <w:jc w:val="center"/>
            </w:pPr>
            <w:r>
              <w:t xml:space="preserve">2-5%</w:t>
            </w:r>
          </w:p>
        </w:tc>
        <w:tc>
          <w:tcPr>
            <w:tcW w:type="dxa" w:w="2160"/>
            <w:tcBorders>
              <w:top w:val="single" w:color="CCCCCC" w:sz="1"/>
              <w:left w:val="single" w:color="CCCCCC" w:sz="1"/>
              <w:bottom w:val="single" w:color="CCCCCC" w:sz="1"/>
              <w:right w:val="single" w:color="CCCCCC" w:sz="1"/>
            </w:tcBorders>
          </w:tcPr>
          <w:p>
            <w:r>
              <w:t xml:space="preserve">Moderate</w:t>
            </w:r>
          </w:p>
        </w:tc>
      </w:tr>
      <w:tr>
        <w:tc>
          <w:tcPr>
            <w:tcW w:type="dxa" w:w="2500"/>
            <w:tcBorders>
              <w:top w:val="single" w:color="CCCCCC" w:sz="1"/>
              <w:left w:val="single" w:color="CCCCCC" w:sz="1"/>
              <w:bottom w:val="single" w:color="CCCCCC" w:sz="1"/>
              <w:right w:val="single" w:color="CCCCCC" w:sz="1"/>
            </w:tcBorders>
            <w:shd w:fill="f8fafc" w:val="clear"/>
          </w:tcPr>
          <w:p>
            <w:pPr>
              <w:jc w:val="center"/>
            </w:pPr>
            <w:r>
              <w:t xml:space="preserve">$1T+</w:t>
            </w:r>
          </w:p>
        </w:tc>
        <w:tc>
          <w:tcPr>
            <w:tcW w:type="dxa" w:w="2500"/>
            <w:tcBorders>
              <w:top w:val="single" w:color="CCCCCC" w:sz="1"/>
              <w:left w:val="single" w:color="CCCCCC" w:sz="1"/>
              <w:bottom w:val="single" w:color="CCCCCC" w:sz="1"/>
              <w:right w:val="single" w:color="CCCCCC" w:sz="1"/>
            </w:tcBorders>
            <w:shd w:fill="f8fafc" w:val="clear"/>
          </w:tcPr>
          <w:p>
            <w:pPr>
              <w:jc w:val="center"/>
            </w:pPr>
            <w:r>
              <w:t xml:space="preserve">$2.7-5.5B</w:t>
            </w:r>
          </w:p>
        </w:tc>
        <w:tc>
          <w:tcPr>
            <w:tcW w:type="dxa" w:w="2200"/>
            <w:tcBorders>
              <w:top w:val="single" w:color="CCCCCC" w:sz="1"/>
              <w:left w:val="single" w:color="CCCCCC" w:sz="1"/>
              <w:bottom w:val="single" w:color="CCCCCC" w:sz="1"/>
              <w:right w:val="single" w:color="CCCCCC" w:sz="1"/>
            </w:tcBorders>
            <w:shd w:fill="f8fafc" w:val="clear"/>
          </w:tcPr>
          <w:p>
            <w:pPr>
              <w:jc w:val="center"/>
            </w:pPr>
            <w:r>
              <w:t xml:space="preserve">5-10%</w:t>
            </w:r>
          </w:p>
        </w:tc>
        <w:tc>
          <w:tcPr>
            <w:tcW w:type="dxa" w:w="2160"/>
            <w:tcBorders>
              <w:top w:val="single" w:color="CCCCCC" w:sz="1"/>
              <w:left w:val="single" w:color="CCCCCC" w:sz="1"/>
              <w:bottom w:val="single" w:color="CCCCCC" w:sz="1"/>
              <w:right w:val="single" w:color="CCCCCC" w:sz="1"/>
            </w:tcBorders>
            <w:shd w:fill="f8fafc" w:val="clear"/>
          </w:tcPr>
          <w:p>
            <w:r>
              <w:t xml:space="preserve">Significant</w:t>
            </w:r>
          </w:p>
        </w:tc>
      </w:tr>
    </w:tbl>
    <w:p>
      <w:pPr>
        <w:spacing w:after="120"/>
      </w:pPr>
      <w:r>
        <w:t xml:space="preserve">Key insight: Current ODL volumes (~$15B) have negligible impact on XRP price. ODL would need to scale 30-60x to materially affect XRP fundamentals.</w:t>
      </w:r>
    </w:p>
    <w:p>
      <w:pPr>
        <w:pStyle w:val="Heading2"/>
        <w:spacing w:before="300" w:after="150"/>
      </w:pPr>
      <w:r>
        <w:rPr>
          <w:b/>
          <w:bCs/>
        </w:rPr>
        <w:t xml:space="preserve">8.2 Growth Trajectory Requirements</w:t>
      </w:r>
    </w:p>
    <w:p>
      <w:pPr>
        <w:spacing w:after="120"/>
      </w:pPr>
      <w:r>
        <w:t xml:space="preserve">For ODL to become a significant price driver, it would need to capture:</w:t>
      </w:r>
    </w:p>
    <w:p>
      <w:pPr>
        <w:pStyle w:val="ListParagraph"/>
        <w:numPr>
          <w:ilvl w:val="0"/>
          <w:numId w:val="7"/>
        </w:numPr>
      </w:pPr>
      <w:r>
        <w:rPr>
          <w:b/>
          <w:bCs/>
        </w:rPr>
        <w:t xml:space="preserve">5% of global remittances: </w:t>
      </w:r>
      <w:r>
        <w:t xml:space="preserve">~$45B annually (3x current)</w:t>
      </w:r>
    </w:p>
    <w:p>
      <w:pPr>
        <w:pStyle w:val="ListParagraph"/>
        <w:numPr>
          <w:ilvl w:val="0"/>
          <w:numId w:val="7"/>
        </w:numPr>
      </w:pPr>
      <w:r>
        <w:rPr>
          <w:b/>
          <w:bCs/>
        </w:rPr>
        <w:t xml:space="preserve">1% of cross-border B2B: </w:t>
      </w:r>
      <w:r>
        <w:t xml:space="preserve">~$400B annually (25x current)</w:t>
      </w:r>
    </w:p>
    <w:p>
      <w:pPr>
        <w:pStyle w:val="ListParagraph"/>
        <w:numPr>
          <w:ilvl w:val="0"/>
          <w:numId w:val="7"/>
        </w:numPr>
      </w:pPr>
      <w:r>
        <w:rPr>
          <w:b/>
          <w:bCs/>
        </w:rPr>
        <w:t xml:space="preserve">Match stablecoin payments: </w:t>
      </w:r>
      <w:r>
        <w:t xml:space="preserve">$5.7T annually (380x current)</w:t>
      </w:r>
    </w:p>
    <w:p>
      <w:pPr>
        <w:spacing w:after="120"/>
      </w:pPr>
      <w:r>
        <w:t xml:space="preserve">At current 32% YoY growth, reaching $100B annual volume would take approximately 6-7 years.</w:t>
      </w:r>
    </w:p>
    <w:p>
      <w:r>
        <w:br w:type="page"/>
      </w:r>
    </w:p>
    <w:p>
      <w:pPr>
        <w:pStyle w:val="Heading1"/>
        <w:spacing w:before="400" w:after="200"/>
      </w:pPr>
      <w:r>
        <w:rPr>
          <w:b/>
          <w:bCs/>
        </w:rPr>
        <w:t xml:space="preserve">9. Limitations and Disclaimers</w:t>
      </w:r>
    </w:p>
    <w:p>
      <w:pPr>
        <w:pStyle w:val="Heading2"/>
        <w:spacing w:before="300" w:after="150"/>
      </w:pPr>
      <w:r>
        <w:rPr>
          <w:b/>
          <w:bCs/>
        </w:rPr>
        <w:t xml:space="preserve">9.1 Model Limitations</w:t>
      </w:r>
    </w:p>
    <w:p>
      <w:pPr>
        <w:pStyle w:val="ListParagraph"/>
        <w:numPr>
          <w:ilvl w:val="0"/>
          <w:numId w:val="8"/>
        </w:numPr>
      </w:pPr>
      <w:r>
        <w:rPr>
          <w:b/>
          <w:bCs/>
        </w:rPr>
        <w:t xml:space="preserve">Data opacity: </w:t>
      </w:r>
      <w:r>
        <w:t xml:space="preserve">Ripple does not publish detailed corridor-level economics. Analysis relies on estimates and third-party data.</w:t>
      </w:r>
    </w:p>
    <w:p>
      <w:pPr>
        <w:pStyle w:val="ListParagraph"/>
        <w:numPr>
          <w:ilvl w:val="0"/>
          <w:numId w:val="8"/>
        </w:numPr>
      </w:pPr>
      <w:r>
        <w:rPr>
          <w:b/>
          <w:bCs/>
        </w:rPr>
        <w:t xml:space="preserve">Dynamic spreads: </w:t>
      </w:r>
      <w:r>
        <w:t xml:space="preserve">Exchange spreads vary in real-time based on liquidity conditions, volatility, and order flow.</w:t>
      </w:r>
    </w:p>
    <w:p>
      <w:pPr>
        <w:pStyle w:val="ListParagraph"/>
        <w:numPr>
          <w:ilvl w:val="0"/>
          <w:numId w:val="8"/>
        </w:numPr>
      </w:pPr>
      <w:r>
        <w:rPr>
          <w:b/>
          <w:bCs/>
        </w:rPr>
        <w:t xml:space="preserve">Hidden subsidies: </w:t>
      </w:r>
      <w:r>
        <w:t xml:space="preserve">Unclear how much ODL activity is subsidized by Ripple through market development fees or preferential pricing.</w:t>
      </w:r>
    </w:p>
    <w:p>
      <w:pPr>
        <w:pStyle w:val="ListParagraph"/>
        <w:numPr>
          <w:ilvl w:val="0"/>
          <w:numId w:val="8"/>
        </w:numPr>
      </w:pPr>
      <w:r>
        <w:rPr>
          <w:b/>
          <w:bCs/>
        </w:rPr>
        <w:t xml:space="preserve">Regulatory flux: </w:t>
      </w:r>
      <w:r>
        <w:t xml:space="preserve">Cryptocurrency regulations continue to evolve, potentially changing corridor viability overnight.</w:t>
      </w:r>
    </w:p>
    <w:p>
      <w:pPr>
        <w:pStyle w:val="ListParagraph"/>
        <w:numPr>
          <w:ilvl w:val="0"/>
          <w:numId w:val="8"/>
        </w:numPr>
      </w:pPr>
      <w:r>
        <w:rPr>
          <w:b/>
          <w:bCs/>
        </w:rPr>
        <w:t xml:space="preserve">Competitive dynamics: </w:t>
      </w:r>
      <w:r>
        <w:t xml:space="preserve">Stablecoin economics and SWIFT improvements are also moving targets.</w:t>
      </w:r>
    </w:p>
    <w:p>
      <w:pPr>
        <w:pStyle w:val="Heading2"/>
        <w:spacing w:before="300" w:after="150"/>
      </w:pPr>
      <w:r>
        <w:rPr>
          <w:b/>
          <w:bCs/>
        </w:rPr>
        <w:t xml:space="preserve">9.2 What This Framework Cannot Predict</w:t>
      </w:r>
    </w:p>
    <w:p>
      <w:pPr>
        <w:pStyle w:val="ListParagraph"/>
        <w:numPr>
          <w:ilvl w:val="0"/>
          <w:numId w:val="8"/>
        </w:numPr>
      </w:pPr>
      <w:r>
        <w:t xml:space="preserve">Regulatory decisions (approvals, bans, restrictions)</w:t>
      </w:r>
    </w:p>
    <w:p>
      <w:pPr>
        <w:pStyle w:val="ListParagraph"/>
        <w:numPr>
          <w:ilvl w:val="0"/>
          <w:numId w:val="8"/>
        </w:numPr>
      </w:pPr>
      <w:r>
        <w:t xml:space="preserve">XRP price movements driven by speculation</w:t>
      </w:r>
    </w:p>
    <w:p>
      <w:pPr>
        <w:pStyle w:val="ListParagraph"/>
        <w:numPr>
          <w:ilvl w:val="0"/>
          <w:numId w:val="8"/>
        </w:numPr>
      </w:pPr>
      <w:r>
        <w:t xml:space="preserve">New competitive entrants or technologies</w:t>
      </w:r>
    </w:p>
    <w:p>
      <w:pPr>
        <w:pStyle w:val="ListParagraph"/>
        <w:numPr>
          <w:ilvl w:val="0"/>
          <w:numId w:val="8"/>
        </w:numPr>
      </w:pPr>
      <w:r>
        <w:t xml:space="preserve">Macroeconomic shifts affecting cross-border flows</w:t>
      </w:r>
    </w:p>
    <w:p>
      <w:pPr>
        <w:pStyle w:val="ListParagraph"/>
        <w:numPr>
          <w:ilvl w:val="0"/>
          <w:numId w:val="8"/>
        </w:numPr>
      </w:pPr>
      <w:r>
        <w:t xml:space="preserve">Partnership announcements and their actual impact</w:t>
      </w:r>
    </w:p>
    <w:p>
      <w:pPr>
        <w:pStyle w:val="Heading2"/>
        <w:spacing w:before="300" w:after="150"/>
      </w:pPr>
      <w:r>
        <w:rPr>
          <w:b/>
          <w:bCs/>
        </w:rPr>
        <w:t xml:space="preserve">9.3 Disclaimer</w:t>
      </w:r>
    </w:p>
    <w:p>
      <w:pPr>
        <w:shd w:fill="fef3c7" w:val="clear"/>
        <w:spacing w:before="200" w:after="200"/>
      </w:pPr>
      <w:r>
        <w:rPr>
          <w:color w:val="92400e"/>
        </w:rPr>
        <w:t xml:space="preserve">IMPORTANT: This white paper is for educational purposes only and does not constitute investment advice. Cryptocurrency investments carry substantial risk of loss. The analysis presented involves numerous assumptions and estimates that may prove incorrect. Past performance of ODL or XRP does not guarantee future results. Always conduct your own research and consult qualified financial advisors before making investment decisions.</w:t>
      </w:r>
    </w:p>
    <w:p>
      <w:r>
        <w:br w:type="page"/>
      </w:r>
    </w:p>
    <w:p>
      <w:pPr>
        <w:pStyle w:val="Heading1"/>
        <w:spacing w:before="400" w:after="200"/>
      </w:pPr>
      <w:r>
        <w:rPr>
          <w:b/>
          <w:bCs/>
        </w:rPr>
        <w:t xml:space="preserve">10. Conclusion</w:t>
      </w:r>
    </w:p>
    <w:p>
      <w:pPr>
        <w:pStyle w:val="Heading2"/>
        <w:spacing w:before="300" w:after="150"/>
      </w:pPr>
      <w:r>
        <w:rPr>
          <w:b/>
          <w:bCs/>
        </w:rPr>
        <w:t xml:space="preserve">10.1 Summary of Findings</w:t>
      </w:r>
    </w:p>
    <w:p>
      <w:pPr>
        <w:spacing w:after="120"/>
      </w:pPr>
      <w:r>
        <w:t xml:space="preserve">The ODL Corridor Economics Model reveals a more nuanced picture than marketing narratives suggest:</w:t>
      </w:r>
    </w:p>
    <w:p>
      <w:pPr>
        <w:spacing w:after="120"/>
      </w:pPr>
      <w:r>
        <w:rPr>
          <w:b/>
          <w:bCs/>
        </w:rPr>
        <w:t xml:space="preserve">ODL works—in specific contexts. </w:t>
      </w:r>
      <w:r>
        <w:t xml:space="preserve">High-cost corridors (&gt;5% traditional cost) with deep XRP liquidity (&gt;$5M daily) and favorable regulations offer genuine cost savings of 2-4%. These represent a real, if narrow, market opportunity.</w:t>
      </w:r>
    </w:p>
    <w:p>
      <w:pPr>
        <w:spacing w:after="120"/>
      </w:pPr>
      <w:r>
        <w:rPr>
          <w:b/>
          <w:bCs/>
        </w:rPr>
        <w:t xml:space="preserve">Liquidity is the binding constraint. </w:t>
      </w:r>
      <w:r>
        <w:t xml:space="preserve">Spreads above 2% eliminate ODL's advantage. Most corridors lack sufficient XRP liquidity today, limiting viable corridors to perhaps 10-20 high-volume pairs.</w:t>
      </w:r>
    </w:p>
    <w:p>
      <w:pPr>
        <w:spacing w:after="120"/>
      </w:pPr>
      <w:r>
        <w:rPr>
          <w:b/>
          <w:bCs/>
        </w:rPr>
        <w:t xml:space="preserve">Stablecoins are formidable competitors. </w:t>
      </w:r>
      <w:r>
        <w:t xml:space="preserve">With $5.7T in 2024 payments, no volatility risk, and clearer regulations, stablecoins may capture much of the market ODL targets—particularly USD-based corridors.</w:t>
      </w:r>
    </w:p>
    <w:p>
      <w:pPr>
        <w:spacing w:after="120"/>
      </w:pPr>
      <w:r>
        <w:rPr>
          <w:b/>
          <w:bCs/>
        </w:rPr>
        <w:t xml:space="preserve">Current scale is insufficient for XRP price impact. </w:t>
      </w:r>
      <w:r>
        <w:t xml:space="preserve">$15B annual ODL volume requires &lt;0.1% of XRP supply as working capital. Meaningful price impact requires 30-60x growth.</w:t>
      </w:r>
    </w:p>
    <w:p>
      <w:pPr>
        <w:spacing w:after="120"/>
      </w:pPr>
      <w:r>
        <w:rPr>
          <w:b/>
          <w:bCs/>
        </w:rPr>
        <w:t xml:space="preserve">The trapped capital thesis is real but overstated. </w:t>
      </w:r>
      <w:r>
        <w:t xml:space="preserve">Banks do maintain substantial pre-funded accounts, but the commonly cited $27T figure lacks verification. The opportunity may be measured in hundreds of billions rather than tens of trillions.</w:t>
      </w:r>
    </w:p>
    <w:p>
      <w:pPr>
        <w:pStyle w:val="Heading2"/>
        <w:spacing w:before="300" w:after="150"/>
      </w:pPr>
      <w:r>
        <w:rPr>
          <w:b/>
          <w:bCs/>
        </w:rPr>
        <w:t xml:space="preserve">10.2 For Investors</w:t>
      </w:r>
    </w:p>
    <w:p>
      <w:pPr>
        <w:spacing w:after="120"/>
      </w:pPr>
      <w:r>
        <w:t xml:space="preserve">This framework enables evidence-based evaluation of ODL's contribution to XRP's utility thesis. Rather than accepting promotional claims, investors can:</w:t>
      </w:r>
    </w:p>
    <w:p>
      <w:pPr>
        <w:pStyle w:val="ListParagraph"/>
        <w:numPr>
          <w:ilvl w:val="0"/>
          <w:numId w:val="7"/>
        </w:numPr>
      </w:pPr>
      <w:r>
        <w:t xml:space="preserve">Calculate corridor-specific economics using the OCEM formula</w:t>
      </w:r>
    </w:p>
    <w:p>
      <w:pPr>
        <w:pStyle w:val="ListParagraph"/>
        <w:numPr>
          <w:ilvl w:val="0"/>
          <w:numId w:val="7"/>
        </w:numPr>
      </w:pPr>
      <w:r>
        <w:t xml:space="preserve">Track liquidity depth as the key leading indicator</w:t>
      </w:r>
    </w:p>
    <w:p>
      <w:pPr>
        <w:pStyle w:val="ListParagraph"/>
        <w:numPr>
          <w:ilvl w:val="0"/>
          <w:numId w:val="7"/>
        </w:numPr>
      </w:pPr>
      <w:r>
        <w:t xml:space="preserve">Monitor stablecoin competition for market share trends</w:t>
      </w:r>
    </w:p>
    <w:p>
      <w:pPr>
        <w:pStyle w:val="ListParagraph"/>
        <w:numPr>
          <w:ilvl w:val="0"/>
          <w:numId w:val="7"/>
        </w:numPr>
      </w:pPr>
      <w:r>
        <w:t xml:space="preserve">Apply break-even analysis to partnership announcements</w:t>
      </w:r>
    </w:p>
    <w:p>
      <w:pPr>
        <w:pStyle w:val="ListParagraph"/>
        <w:numPr>
          <w:ilvl w:val="0"/>
          <w:numId w:val="7"/>
        </w:numPr>
      </w:pPr>
      <w:r>
        <w:t xml:space="preserve">Set realistic expectations for volume-to-price transmission</w:t>
      </w:r>
    </w:p>
    <w:p>
      <w:pPr>
        <w:pStyle w:val="Heading2"/>
        <w:spacing w:before="300" w:after="150"/>
      </w:pPr>
      <w:r>
        <w:rPr>
          <w:b/>
          <w:bCs/>
        </w:rPr>
        <w:t xml:space="preserve">10.3 The Path Forward</w:t>
      </w:r>
    </w:p>
    <w:p>
      <w:pPr>
        <w:spacing w:after="120"/>
      </w:pPr>
      <w:r>
        <w:t xml:space="preserve">ODL's future depends on several key developments:</w:t>
      </w:r>
    </w:p>
    <w:p>
      <w:pPr>
        <w:pStyle w:val="ListParagraph"/>
        <w:numPr>
          <w:ilvl w:val="0"/>
          <w:numId w:val="7"/>
        </w:numPr>
      </w:pPr>
      <w:r>
        <w:rPr>
          <w:b/>
          <w:bCs/>
        </w:rPr>
        <w:t xml:space="preserve">Liquidity deepening: </w:t>
      </w:r>
      <w:r>
        <w:t xml:space="preserve">More market makers, tighter spreads, more viable corridors</w:t>
      </w:r>
    </w:p>
    <w:p>
      <w:pPr>
        <w:pStyle w:val="ListParagraph"/>
        <w:numPr>
          <w:ilvl w:val="0"/>
          <w:numId w:val="7"/>
        </w:numPr>
      </w:pPr>
      <w:r>
        <w:rPr>
          <w:b/>
          <w:bCs/>
        </w:rPr>
        <w:t xml:space="preserve">Regulatory clarity: </w:t>
      </w:r>
      <w:r>
        <w:t xml:space="preserve">Continued progress in major markets (US, EU, Asia)</w:t>
      </w:r>
    </w:p>
    <w:p>
      <w:pPr>
        <w:pStyle w:val="ListParagraph"/>
        <w:numPr>
          <w:ilvl w:val="0"/>
          <w:numId w:val="7"/>
        </w:numPr>
      </w:pPr>
      <w:r>
        <w:rPr>
          <w:b/>
          <w:bCs/>
        </w:rPr>
        <w:t xml:space="preserve">RLUSD integration: </w:t>
      </w:r>
      <w:r>
        <w:t xml:space="preserve">Ripple's stablecoin could complement or compete with XRP-based ODL</w:t>
      </w:r>
    </w:p>
    <w:p>
      <w:pPr>
        <w:pStyle w:val="ListParagraph"/>
        <w:numPr>
          <w:ilvl w:val="0"/>
          <w:numId w:val="7"/>
        </w:numPr>
      </w:pPr>
      <w:r>
        <w:rPr>
          <w:b/>
          <w:bCs/>
        </w:rPr>
        <w:t xml:space="preserve">Non-USD corridor focus: </w:t>
      </w:r>
      <w:r>
        <w:t xml:space="preserve">Where stablecoin competition is weaker</w:t>
      </w:r>
    </w:p>
    <w:p>
      <w:pPr>
        <w:spacing w:after="120"/>
      </w:pPr>
      <w:r>
        <w:t xml:space="preserve">The evidence suggests ODL is a legitimate product with genuine advantages in specific contexts—but not the universal solution to cross-border payments its marketing implies. Sophisticated investors should calibrate expectations accordingly.</w:t>
      </w:r>
    </w:p>
    <w:p>
      <w:pPr>
        <w:spacing w:before="600"/>
      </w:pPr>
    </w:p>
    <w:p>
      <w:pPr>
        <w:jc w:val="center"/>
      </w:pPr>
      <w:r>
        <w:rPr>
          <w:b/>
          <w:bCs/>
          <w:color w:val="718096"/>
        </w:rPr>
        <w:t xml:space="preserve">— END OF WHITE PAPER —</w:t>
      </w:r>
    </w:p>
    <w:p>
      <w:pPr>
        <w:spacing w:before="400"/>
      </w:pPr>
    </w:p>
    <w:p>
      <w:pPr>
        <w:jc w:val="center"/>
      </w:pPr>
      <w:r>
        <w:rPr>
          <w:color w:val="718096"/>
          <w:sz w:val="18"/>
          <w:szCs w:val="18"/>
        </w:rPr>
        <w:t xml:space="preserve">© 2025 XRP Intelligence, LLC. All rights reserved.</w:t>
      </w:r>
    </w:p>
    <w:p>
      <w:pPr>
        <w:jc w:val="center"/>
      </w:pPr>
      <w:r>
        <w:rPr>
          <w:color w:val="718096"/>
          <w:sz w:val="18"/>
          <w:szCs w:val="18"/>
        </w:rPr>
        <w:t xml:space="preserve">XRP Academy Research Division</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sz w:val="18"/>
        <w:szCs w:val="18"/>
      </w:rPr>
      <w:t xml:space="preserve">Page </w:t>
    </w:r>
    <w:r>
      <w:rPr>
        <w:sz w:val="18"/>
        <w:szCs w:val="18"/>
      </w:rPr>
      <w:fldChar w:fldCharType="begin"/>
      <w:instrText xml:space="preserve">PAGE</w:instrText>
      <w:fldChar w:fldCharType="separate"/>
      <w:fldChar w:fldCharType="end"/>
    </w:r>
    <w:r>
      <w:rPr>
        <w:sz w:val="18"/>
        <w:szCs w:val="18"/>
      </w:rPr>
      <w:t xml:space="preserve"> of </w:t>
    </w:r>
    <w:r>
      <w:rPr>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color w:val="718096"/>
        <w:sz w:val="18"/>
        <w:szCs w:val="18"/>
      </w:rPr>
      <w:t xml:space="preserve">XRP Academy Research Division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7"/>
    <w:lvlOverride w:ilvl="0">
      <w:startOverride w:val="1"/>
    </w:lvlOverride>
  </w:num>
  <w:num w:numId="7">
    <w:abstractNumId w:val="8"/>
    <w:lvlOverride w:ilvl="0">
      <w:startOverride w:val="1"/>
    </w:lvlOverride>
  </w:num>
  <w:num w:numId="8">
    <w:abstractNumId w:val="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before="0" w:after="200"/>
      <w:jc w:val="center"/>
    </w:pPr>
    <w:rPr>
      <w:rFonts w:ascii="Arial" w:cs="Arial" w:eastAsia="Arial" w:hAnsi="Arial"/>
      <w:b/>
      <w:bCs/>
      <w:color w:val="1a365d"/>
      <w:sz w:val="56"/>
      <w:szCs w:val="56"/>
    </w:rPr>
  </w:style>
  <w:style w:type="paragraph" w:styleId="Heading1">
    <w:name w:val="Heading 1"/>
    <w:basedOn w:val="Normal"/>
    <w:next w:val="Normal"/>
    <w:qFormat/>
    <w:pPr>
      <w:spacing w:before="400" w:after="200"/>
      <w:outlineLvl w:val="0"/>
    </w:pPr>
    <w:rPr>
      <w:rFonts w:ascii="Arial" w:cs="Arial" w:eastAsia="Arial" w:hAnsi="Arial"/>
      <w:b/>
      <w:bCs/>
      <w:color w:val="1a365d"/>
      <w:sz w:val="32"/>
      <w:szCs w:val="32"/>
    </w:rPr>
  </w:style>
  <w:style w:type="paragraph" w:styleId="Heading2">
    <w:name w:val="Heading 2"/>
    <w:basedOn w:val="Normal"/>
    <w:next w:val="Normal"/>
    <w:qFormat/>
    <w:pPr>
      <w:spacing w:before="300" w:after="150"/>
      <w:outlineLvl w:val="1"/>
    </w:pPr>
    <w:rPr>
      <w:rFonts w:ascii="Arial" w:cs="Arial" w:eastAsia="Arial" w:hAnsi="Arial"/>
      <w:b/>
      <w:bCs/>
      <w:color w:val="2d3748"/>
      <w:sz w:val="26"/>
      <w:szCs w:val="26"/>
    </w:rPr>
  </w:style>
  <w:style w:type="paragraph" w:styleId="Heading3">
    <w:name w:val="Heading 3"/>
    <w:basedOn w:val="Normal"/>
    <w:next w:val="Normal"/>
    <w:qFormat/>
    <w:pPr>
      <w:spacing w:before="200" w:after="100"/>
      <w:outlineLvl w:val="2"/>
    </w:pPr>
    <w:rPr>
      <w:rFonts w:ascii="Arial" w:cs="Arial" w:eastAsia="Arial" w:hAnsi="Arial"/>
      <w:b/>
      <w:bCs/>
      <w:color w:val="4a5568"/>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2025-12-11T14:41:00.866Z</dcterms:created>
  <dcterms:modified xsi:type="dcterms:W3CDTF">2025-12-11T14:41:00.867Z</dcterms:modified>
</cp:coreProperties>
</file>

<file path=docProps/custom.xml><?xml version="1.0" encoding="utf-8"?>
<Properties xmlns="http://schemas.openxmlformats.org/officeDocument/2006/custom-properties" xmlns:vt="http://schemas.openxmlformats.org/officeDocument/2006/docPropsVTypes"/>
</file>